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1DD3" w:rsidRPr="007F1DD3" w:rsidRDefault="007F1DD3" w:rsidP="007F1DD3">
      <w:pPr>
        <w:pStyle w:val="NoSpacing"/>
        <w:jc w:val="center"/>
        <w:rPr>
          <w:b/>
        </w:rPr>
      </w:pPr>
      <w:r w:rsidRPr="007F1DD3">
        <w:rPr>
          <w:b/>
        </w:rPr>
        <w:t>Western Regional Plant Introduction Station (WRPIS) in Pullman, Washington</w:t>
      </w:r>
    </w:p>
    <w:p w:rsidR="006E77E9" w:rsidRDefault="006E77E9" w:rsidP="007F1DD3">
      <w:pPr>
        <w:pStyle w:val="NoSpacing"/>
        <w:jc w:val="center"/>
        <w:rPr>
          <w:b/>
        </w:rPr>
      </w:pPr>
      <w:r w:rsidRPr="007F1DD3">
        <w:rPr>
          <w:b/>
        </w:rPr>
        <w:t>Storage &amp; Distribution of Seeds of Success Material</w:t>
      </w:r>
    </w:p>
    <w:p w:rsidR="007F1DD3" w:rsidRPr="007F1DD3" w:rsidRDefault="007F1DD3" w:rsidP="007F1DD3">
      <w:pPr>
        <w:pStyle w:val="NoSpacing"/>
        <w:jc w:val="center"/>
        <w:rPr>
          <w:b/>
        </w:rPr>
      </w:pPr>
    </w:p>
    <w:p w:rsidR="000158CF" w:rsidRDefault="000158CF">
      <w:pPr>
        <w:rPr>
          <w:szCs w:val="24"/>
        </w:rPr>
      </w:pPr>
      <w:r>
        <w:rPr>
          <w:szCs w:val="24"/>
        </w:rPr>
        <w:t>All SOS material collected by BLM collection teams</w:t>
      </w:r>
      <w:r w:rsidR="004B680B">
        <w:rPr>
          <w:szCs w:val="24"/>
        </w:rPr>
        <w:t xml:space="preserve"> (or teams contracted by BLM)</w:t>
      </w:r>
      <w:r>
        <w:rPr>
          <w:szCs w:val="24"/>
        </w:rPr>
        <w:t xml:space="preserve"> is sent to the U.S.</w:t>
      </w:r>
      <w:r w:rsidRPr="00F95974">
        <w:rPr>
          <w:szCs w:val="24"/>
        </w:rPr>
        <w:t xml:space="preserve"> Forest Service </w:t>
      </w:r>
      <w:r>
        <w:rPr>
          <w:szCs w:val="24"/>
        </w:rPr>
        <w:t xml:space="preserve">Bend Seed Extractory for cleaning.  </w:t>
      </w:r>
      <w:r w:rsidR="004C7137">
        <w:rPr>
          <w:szCs w:val="24"/>
        </w:rPr>
        <w:t xml:space="preserve">Non-BLM collection teams are responsible for cleaning their own seed and shipping to the Western Regional Plant Introduction Station </w:t>
      </w:r>
      <w:r w:rsidR="005D2DEB">
        <w:rPr>
          <w:szCs w:val="24"/>
        </w:rPr>
        <w:t>(WRPIS) facility in</w:t>
      </w:r>
      <w:r w:rsidR="004C7137">
        <w:rPr>
          <w:szCs w:val="24"/>
        </w:rPr>
        <w:t xml:space="preserve"> Pullman, WA</w:t>
      </w:r>
      <w:r w:rsidR="007F1DD3">
        <w:rPr>
          <w:szCs w:val="24"/>
        </w:rPr>
        <w:t>.</w:t>
      </w:r>
    </w:p>
    <w:p w:rsidR="006E77E9" w:rsidRDefault="005D2DEB">
      <w:pPr>
        <w:rPr>
          <w:szCs w:val="24"/>
        </w:rPr>
      </w:pPr>
      <w:r>
        <w:rPr>
          <w:szCs w:val="24"/>
        </w:rPr>
        <w:t>WRPIS</w:t>
      </w:r>
      <w:r w:rsidR="006E77E9" w:rsidRPr="00F95974">
        <w:rPr>
          <w:szCs w:val="24"/>
        </w:rPr>
        <w:t xml:space="preserve"> serves as the processing center for Seeds of Success (SOS) collections entering the National Plant Germplasm System (NPGS). </w:t>
      </w:r>
      <w:r w:rsidR="006E77E9">
        <w:rPr>
          <w:szCs w:val="24"/>
        </w:rPr>
        <w:t xml:space="preserve">The </w:t>
      </w:r>
      <w:r w:rsidR="006E77E9" w:rsidRPr="00F95974">
        <w:rPr>
          <w:szCs w:val="24"/>
        </w:rPr>
        <w:t xml:space="preserve">WRPIS </w:t>
      </w:r>
      <w:r w:rsidR="006E77E9">
        <w:rPr>
          <w:szCs w:val="24"/>
        </w:rPr>
        <w:t>has partnered with the Bureau of Land Management,</w:t>
      </w:r>
      <w:r w:rsidR="006E77E9" w:rsidRPr="00325D9B">
        <w:t xml:space="preserve"> Kew Millennium Seed Bank</w:t>
      </w:r>
      <w:r w:rsidR="006E77E9" w:rsidRPr="00F95974">
        <w:t>,</w:t>
      </w:r>
      <w:r w:rsidR="006E77E9">
        <w:t xml:space="preserve"> and other Plant Conservation Alliance members</w:t>
      </w:r>
      <w:r w:rsidR="006E77E9" w:rsidRPr="00F95974">
        <w:t xml:space="preserve"> for collection and conservation of native plant species</w:t>
      </w:r>
      <w:r w:rsidR="006E77E9">
        <w:t xml:space="preserve"> in the United States. The </w:t>
      </w:r>
      <w:r w:rsidR="006E77E9" w:rsidRPr="00F95974">
        <w:t>W</w:t>
      </w:r>
      <w:r w:rsidR="006E77E9" w:rsidRPr="00F95974">
        <w:rPr>
          <w:szCs w:val="24"/>
        </w:rPr>
        <w:t>RPIS receives</w:t>
      </w:r>
      <w:r w:rsidR="006E77E9">
        <w:rPr>
          <w:szCs w:val="24"/>
        </w:rPr>
        <w:t xml:space="preserve"> 10,000 seed from each SOS collection</w:t>
      </w:r>
      <w:r w:rsidR="006E77E9" w:rsidRPr="00F95974">
        <w:rPr>
          <w:szCs w:val="24"/>
        </w:rPr>
        <w:t xml:space="preserve"> cleaned </w:t>
      </w:r>
      <w:r w:rsidR="006E77E9">
        <w:rPr>
          <w:szCs w:val="24"/>
        </w:rPr>
        <w:t>by the U.S.</w:t>
      </w:r>
      <w:r w:rsidR="006E77E9" w:rsidRPr="00F95974">
        <w:rPr>
          <w:szCs w:val="24"/>
        </w:rPr>
        <w:t xml:space="preserve"> Forest Service </w:t>
      </w:r>
      <w:r w:rsidR="006E77E9">
        <w:rPr>
          <w:szCs w:val="24"/>
        </w:rPr>
        <w:t xml:space="preserve">Bend Seed Extractory.  Any seed over the 10,000 WRPIS shipment is stored at Bend.  If less than 10,000 </w:t>
      </w:r>
      <w:r>
        <w:rPr>
          <w:szCs w:val="24"/>
        </w:rPr>
        <w:t xml:space="preserve">seed </w:t>
      </w:r>
      <w:r w:rsidR="006E77E9">
        <w:rPr>
          <w:szCs w:val="24"/>
        </w:rPr>
        <w:t xml:space="preserve">is cleaned at Bend, all of that material will go to WRPIS. </w:t>
      </w:r>
    </w:p>
    <w:p w:rsidR="006E77E9" w:rsidRDefault="006E77E9" w:rsidP="006E77E9">
      <w:pPr>
        <w:spacing w:line="240" w:lineRule="auto"/>
        <w:rPr>
          <w:szCs w:val="24"/>
        </w:rPr>
      </w:pPr>
      <w:r w:rsidRPr="00A03D60">
        <w:rPr>
          <w:szCs w:val="24"/>
        </w:rPr>
        <w:t>Accessions are sub-divided for -20</w:t>
      </w:r>
      <w:r>
        <w:rPr>
          <w:rFonts w:ascii="Calibri" w:hAnsi="Calibri" w:cs="Calibri"/>
          <w:szCs w:val="24"/>
        </w:rPr>
        <w:t>⁰</w:t>
      </w:r>
      <w:r w:rsidRPr="00A03D60">
        <w:rPr>
          <w:szCs w:val="24"/>
        </w:rPr>
        <w:t xml:space="preserve">C back-up storage </w:t>
      </w:r>
      <w:r>
        <w:rPr>
          <w:szCs w:val="24"/>
        </w:rPr>
        <w:t>in</w:t>
      </w:r>
      <w:r w:rsidRPr="00A03D60">
        <w:rPr>
          <w:szCs w:val="24"/>
        </w:rPr>
        <w:t xml:space="preserve"> Pullman and the National Center for Genetic Resources Preservation (NCGRP)</w:t>
      </w:r>
      <w:r>
        <w:rPr>
          <w:szCs w:val="24"/>
        </w:rPr>
        <w:t xml:space="preserve"> in Fort Collins, Colorado (Table 1)</w:t>
      </w:r>
      <w:r w:rsidRPr="00A03D60">
        <w:rPr>
          <w:szCs w:val="24"/>
        </w:rPr>
        <w:t>. If seed quantity is sufficient</w:t>
      </w:r>
      <w:r>
        <w:rPr>
          <w:szCs w:val="24"/>
        </w:rPr>
        <w:t>, a distribution</w:t>
      </w:r>
      <w:r w:rsidRPr="00A03D60">
        <w:rPr>
          <w:szCs w:val="24"/>
        </w:rPr>
        <w:t xml:space="preserve"> component is included in the 4</w:t>
      </w:r>
      <w:r>
        <w:rPr>
          <w:rFonts w:ascii="Calibri" w:hAnsi="Calibri" w:cs="Calibri"/>
          <w:szCs w:val="24"/>
        </w:rPr>
        <w:t>⁰</w:t>
      </w:r>
      <w:r w:rsidRPr="00A03D60">
        <w:rPr>
          <w:szCs w:val="24"/>
        </w:rPr>
        <w:t>C working collection</w:t>
      </w:r>
      <w:r>
        <w:rPr>
          <w:szCs w:val="24"/>
        </w:rPr>
        <w:t xml:space="preserve"> as outlined in Table 1</w:t>
      </w:r>
      <w:r w:rsidRPr="00A03D60">
        <w:rPr>
          <w:szCs w:val="24"/>
        </w:rPr>
        <w:t xml:space="preserve">. </w:t>
      </w:r>
    </w:p>
    <w:tbl>
      <w:tblPr>
        <w:tblpPr w:leftFromText="180" w:rightFromText="180" w:vertAnchor="text" w:horzAnchor="margin" w:tblpY="76"/>
        <w:tblW w:w="0" w:type="auto"/>
        <w:tblLook w:val="01E0" w:firstRow="1" w:lastRow="1" w:firstColumn="1" w:lastColumn="1" w:noHBand="0" w:noVBand="0"/>
      </w:tblPr>
      <w:tblGrid>
        <w:gridCol w:w="2309"/>
        <w:gridCol w:w="2344"/>
        <w:gridCol w:w="2297"/>
        <w:gridCol w:w="1888"/>
      </w:tblGrid>
      <w:tr w:rsidR="006E77E9" w:rsidRPr="005059A1" w:rsidTr="006E77E9">
        <w:tc>
          <w:tcPr>
            <w:tcW w:w="8838" w:type="dxa"/>
            <w:gridSpan w:val="4"/>
            <w:tcBorders>
              <w:top w:val="single" w:sz="4" w:space="0" w:color="auto"/>
              <w:bottom w:val="single" w:sz="4" w:space="0" w:color="auto"/>
            </w:tcBorders>
          </w:tcPr>
          <w:p w:rsidR="006E77E9" w:rsidRPr="00F25392" w:rsidRDefault="006E77E9" w:rsidP="006E77E9">
            <w:pPr>
              <w:spacing w:after="0" w:line="240" w:lineRule="auto"/>
              <w:rPr>
                <w:rFonts w:eastAsia="Times New Roman"/>
                <w:sz w:val="22"/>
              </w:rPr>
            </w:pPr>
            <w:r w:rsidRPr="00F25392">
              <w:rPr>
                <w:rFonts w:eastAsia="Times New Roman"/>
                <w:sz w:val="22"/>
              </w:rPr>
              <w:t>Table 1.  Seeds of Success (SOS) germplasm proportioning for security back-up and working collection samples.</w:t>
            </w:r>
          </w:p>
        </w:tc>
      </w:tr>
      <w:tr w:rsidR="006E77E9" w:rsidRPr="005059A1" w:rsidTr="006E77E9">
        <w:tc>
          <w:tcPr>
            <w:tcW w:w="2309" w:type="dxa"/>
            <w:tcBorders>
              <w:top w:val="single" w:sz="4" w:space="0" w:color="auto"/>
              <w:bottom w:val="single" w:sz="4" w:space="0" w:color="auto"/>
            </w:tcBorders>
          </w:tcPr>
          <w:p w:rsidR="006E77E9" w:rsidRPr="005059A1" w:rsidRDefault="006E77E9" w:rsidP="006E77E9">
            <w:pPr>
              <w:spacing w:after="0" w:line="240" w:lineRule="auto"/>
              <w:rPr>
                <w:rFonts w:eastAsia="Times New Roman"/>
                <w:sz w:val="22"/>
              </w:rPr>
            </w:pPr>
            <w:r w:rsidRPr="005059A1">
              <w:rPr>
                <w:rFonts w:eastAsia="Times New Roman"/>
                <w:sz w:val="22"/>
              </w:rPr>
              <w:t>SOS accession seed quantity</w:t>
            </w:r>
          </w:p>
        </w:tc>
        <w:tc>
          <w:tcPr>
            <w:tcW w:w="2344" w:type="dxa"/>
            <w:tcBorders>
              <w:top w:val="single" w:sz="4" w:space="0" w:color="auto"/>
              <w:bottom w:val="single" w:sz="4" w:space="0" w:color="auto"/>
            </w:tcBorders>
          </w:tcPr>
          <w:p w:rsidR="006E77E9" w:rsidRDefault="006E77E9" w:rsidP="006E77E9">
            <w:pPr>
              <w:spacing w:after="0" w:line="240" w:lineRule="auto"/>
              <w:jc w:val="center"/>
              <w:rPr>
                <w:rFonts w:eastAsia="Times New Roman"/>
                <w:sz w:val="22"/>
              </w:rPr>
            </w:pPr>
          </w:p>
          <w:p w:rsidR="006E77E9" w:rsidRPr="009A4BF5" w:rsidRDefault="006E77E9" w:rsidP="006E77E9">
            <w:pPr>
              <w:spacing w:after="0" w:line="240" w:lineRule="auto"/>
              <w:jc w:val="center"/>
              <w:rPr>
                <w:rFonts w:eastAsia="Times New Roman"/>
                <w:sz w:val="22"/>
              </w:rPr>
            </w:pPr>
            <w:r w:rsidRPr="009A4BF5">
              <w:rPr>
                <w:rFonts w:eastAsia="Times New Roman"/>
                <w:sz w:val="22"/>
              </w:rPr>
              <w:t>Ratio to NCGRP -20</w:t>
            </w:r>
            <w:r w:rsidRPr="009A4BF5">
              <w:rPr>
                <w:rFonts w:ascii="Calibri" w:eastAsia="Times New Roman" w:hAnsi="Calibri" w:cs="Calibri"/>
                <w:sz w:val="22"/>
              </w:rPr>
              <w:t>⁰</w:t>
            </w:r>
            <w:r w:rsidRPr="009A4BF5">
              <w:rPr>
                <w:rFonts w:eastAsia="Times New Roman"/>
                <w:sz w:val="22"/>
              </w:rPr>
              <w:t>C</w:t>
            </w:r>
          </w:p>
        </w:tc>
        <w:tc>
          <w:tcPr>
            <w:tcW w:w="2297" w:type="dxa"/>
            <w:tcBorders>
              <w:top w:val="single" w:sz="4" w:space="0" w:color="auto"/>
              <w:bottom w:val="single" w:sz="4" w:space="0" w:color="auto"/>
            </w:tcBorders>
          </w:tcPr>
          <w:p w:rsidR="006E77E9" w:rsidRDefault="006E77E9" w:rsidP="006E77E9">
            <w:pPr>
              <w:spacing w:after="0" w:line="240" w:lineRule="auto"/>
              <w:jc w:val="center"/>
              <w:rPr>
                <w:rFonts w:eastAsia="Times New Roman"/>
                <w:sz w:val="22"/>
              </w:rPr>
            </w:pPr>
          </w:p>
          <w:p w:rsidR="006E77E9" w:rsidRPr="005059A1" w:rsidRDefault="006E77E9" w:rsidP="006E77E9">
            <w:pPr>
              <w:spacing w:after="0" w:line="240" w:lineRule="auto"/>
              <w:jc w:val="center"/>
              <w:rPr>
                <w:rFonts w:eastAsia="Times New Roman"/>
                <w:sz w:val="22"/>
              </w:rPr>
            </w:pPr>
            <w:r w:rsidRPr="005059A1">
              <w:rPr>
                <w:rFonts w:eastAsia="Times New Roman"/>
                <w:sz w:val="22"/>
              </w:rPr>
              <w:t>Ratio to WRPIS -</w:t>
            </w:r>
            <w:r>
              <w:rPr>
                <w:rFonts w:eastAsia="Times New Roman"/>
                <w:sz w:val="22"/>
              </w:rPr>
              <w:t>2</w:t>
            </w:r>
            <w:r w:rsidRPr="005059A1">
              <w:rPr>
                <w:rFonts w:eastAsia="Times New Roman"/>
                <w:sz w:val="22"/>
              </w:rPr>
              <w:t>0</w:t>
            </w:r>
            <w:r w:rsidRPr="005059A1">
              <w:rPr>
                <w:rFonts w:ascii="Calibri" w:eastAsia="Times New Roman" w:hAnsi="Calibri" w:cs="Calibri"/>
                <w:sz w:val="22"/>
              </w:rPr>
              <w:t>⁰</w:t>
            </w:r>
            <w:r w:rsidRPr="005059A1">
              <w:rPr>
                <w:rFonts w:eastAsia="Times New Roman"/>
                <w:sz w:val="22"/>
              </w:rPr>
              <w:t>C</w:t>
            </w:r>
          </w:p>
        </w:tc>
        <w:tc>
          <w:tcPr>
            <w:tcW w:w="1888" w:type="dxa"/>
            <w:tcBorders>
              <w:top w:val="single" w:sz="4" w:space="0" w:color="auto"/>
              <w:bottom w:val="single" w:sz="4" w:space="0" w:color="auto"/>
            </w:tcBorders>
          </w:tcPr>
          <w:p w:rsidR="006E77E9" w:rsidRPr="005059A1" w:rsidRDefault="006E77E9" w:rsidP="006E77E9">
            <w:pPr>
              <w:spacing w:after="0" w:line="240" w:lineRule="auto"/>
              <w:jc w:val="center"/>
              <w:rPr>
                <w:rFonts w:eastAsia="Times New Roman"/>
                <w:sz w:val="22"/>
              </w:rPr>
            </w:pPr>
            <w:r w:rsidRPr="005059A1">
              <w:rPr>
                <w:rFonts w:eastAsia="Times New Roman"/>
                <w:sz w:val="22"/>
              </w:rPr>
              <w:t>Ratio to working collection 4</w:t>
            </w:r>
            <w:r w:rsidRPr="005059A1">
              <w:rPr>
                <w:rFonts w:ascii="Calibri" w:eastAsia="Times New Roman" w:hAnsi="Calibri" w:cs="Calibri"/>
                <w:sz w:val="22"/>
              </w:rPr>
              <w:t>⁰</w:t>
            </w:r>
            <w:r w:rsidRPr="005059A1">
              <w:rPr>
                <w:rFonts w:eastAsia="Times New Roman"/>
                <w:sz w:val="22"/>
              </w:rPr>
              <w:t>C</w:t>
            </w:r>
          </w:p>
        </w:tc>
      </w:tr>
      <w:tr w:rsidR="006E77E9" w:rsidRPr="005059A1" w:rsidTr="006E77E9">
        <w:tc>
          <w:tcPr>
            <w:tcW w:w="2309" w:type="dxa"/>
            <w:tcBorders>
              <w:top w:val="single" w:sz="4" w:space="0" w:color="auto"/>
            </w:tcBorders>
          </w:tcPr>
          <w:p w:rsidR="006E77E9" w:rsidRPr="005059A1" w:rsidRDefault="006E77E9" w:rsidP="006E77E9">
            <w:pPr>
              <w:spacing w:after="0" w:line="240" w:lineRule="auto"/>
              <w:rPr>
                <w:rFonts w:eastAsia="Times New Roman"/>
                <w:sz w:val="22"/>
              </w:rPr>
            </w:pPr>
            <w:r w:rsidRPr="005059A1">
              <w:rPr>
                <w:rFonts w:eastAsia="Times New Roman"/>
                <w:sz w:val="22"/>
              </w:rPr>
              <w:t>&lt;6000</w:t>
            </w:r>
          </w:p>
        </w:tc>
        <w:tc>
          <w:tcPr>
            <w:tcW w:w="2344" w:type="dxa"/>
            <w:tcBorders>
              <w:top w:val="single" w:sz="4" w:space="0" w:color="auto"/>
            </w:tcBorders>
          </w:tcPr>
          <w:p w:rsidR="006E77E9" w:rsidRPr="005059A1" w:rsidRDefault="006E77E9" w:rsidP="006E77E9">
            <w:pPr>
              <w:spacing w:after="0" w:line="240" w:lineRule="auto"/>
              <w:jc w:val="center"/>
              <w:rPr>
                <w:rFonts w:eastAsia="Times New Roman"/>
                <w:sz w:val="22"/>
              </w:rPr>
            </w:pPr>
            <w:r w:rsidRPr="005059A1">
              <w:rPr>
                <w:rFonts w:eastAsia="Times New Roman"/>
                <w:sz w:val="22"/>
              </w:rPr>
              <w:t>½</w:t>
            </w:r>
          </w:p>
        </w:tc>
        <w:tc>
          <w:tcPr>
            <w:tcW w:w="2297" w:type="dxa"/>
            <w:tcBorders>
              <w:top w:val="single" w:sz="4" w:space="0" w:color="auto"/>
            </w:tcBorders>
          </w:tcPr>
          <w:p w:rsidR="006E77E9" w:rsidRPr="005059A1" w:rsidRDefault="006E77E9" w:rsidP="006E77E9">
            <w:pPr>
              <w:spacing w:after="0" w:line="240" w:lineRule="auto"/>
              <w:jc w:val="center"/>
              <w:rPr>
                <w:rFonts w:eastAsia="Times New Roman"/>
                <w:sz w:val="22"/>
              </w:rPr>
            </w:pPr>
            <w:r w:rsidRPr="005059A1">
              <w:rPr>
                <w:rFonts w:eastAsia="Times New Roman"/>
                <w:sz w:val="22"/>
              </w:rPr>
              <w:t>½</w:t>
            </w:r>
          </w:p>
        </w:tc>
        <w:tc>
          <w:tcPr>
            <w:tcW w:w="1888" w:type="dxa"/>
            <w:tcBorders>
              <w:top w:val="single" w:sz="4" w:space="0" w:color="auto"/>
            </w:tcBorders>
          </w:tcPr>
          <w:p w:rsidR="006E77E9" w:rsidRPr="005059A1" w:rsidRDefault="006E77E9" w:rsidP="006E77E9">
            <w:pPr>
              <w:spacing w:after="0" w:line="240" w:lineRule="auto"/>
              <w:jc w:val="center"/>
              <w:rPr>
                <w:rFonts w:eastAsia="Times New Roman"/>
                <w:sz w:val="22"/>
              </w:rPr>
            </w:pPr>
            <w:r w:rsidRPr="005059A1">
              <w:rPr>
                <w:rFonts w:eastAsia="Times New Roman"/>
                <w:sz w:val="22"/>
              </w:rPr>
              <w:t>0</w:t>
            </w:r>
          </w:p>
        </w:tc>
      </w:tr>
      <w:tr w:rsidR="006E77E9" w:rsidRPr="005059A1" w:rsidTr="006E77E9">
        <w:tc>
          <w:tcPr>
            <w:tcW w:w="2309" w:type="dxa"/>
          </w:tcPr>
          <w:p w:rsidR="006E77E9" w:rsidRPr="005059A1" w:rsidRDefault="006E77E9" w:rsidP="006E77E9">
            <w:pPr>
              <w:spacing w:after="0" w:line="240" w:lineRule="auto"/>
              <w:rPr>
                <w:rFonts w:eastAsia="Times New Roman"/>
                <w:sz w:val="22"/>
              </w:rPr>
            </w:pPr>
            <w:r w:rsidRPr="005059A1">
              <w:rPr>
                <w:rFonts w:eastAsia="Times New Roman"/>
                <w:sz w:val="22"/>
              </w:rPr>
              <w:t>6000-7500</w:t>
            </w:r>
          </w:p>
        </w:tc>
        <w:tc>
          <w:tcPr>
            <w:tcW w:w="2344" w:type="dxa"/>
          </w:tcPr>
          <w:p w:rsidR="006E77E9" w:rsidRPr="005059A1" w:rsidRDefault="006E77E9" w:rsidP="006E77E9">
            <w:pPr>
              <w:spacing w:after="0" w:line="240" w:lineRule="auto"/>
              <w:jc w:val="center"/>
              <w:rPr>
                <w:rFonts w:eastAsia="Times New Roman"/>
                <w:sz w:val="22"/>
              </w:rPr>
            </w:pPr>
            <w:r w:rsidRPr="005059A1">
              <w:rPr>
                <w:rFonts w:eastAsia="Times New Roman"/>
                <w:sz w:val="22"/>
              </w:rPr>
              <w:t>2/5</w:t>
            </w:r>
          </w:p>
        </w:tc>
        <w:tc>
          <w:tcPr>
            <w:tcW w:w="2297" w:type="dxa"/>
          </w:tcPr>
          <w:p w:rsidR="006E77E9" w:rsidRPr="005059A1" w:rsidRDefault="006E77E9" w:rsidP="006E77E9">
            <w:pPr>
              <w:spacing w:after="0" w:line="240" w:lineRule="auto"/>
              <w:jc w:val="center"/>
              <w:rPr>
                <w:rFonts w:eastAsia="Times New Roman"/>
                <w:sz w:val="22"/>
              </w:rPr>
            </w:pPr>
            <w:r w:rsidRPr="005059A1">
              <w:rPr>
                <w:rFonts w:eastAsia="Times New Roman"/>
                <w:sz w:val="22"/>
              </w:rPr>
              <w:t>2/5</w:t>
            </w:r>
          </w:p>
        </w:tc>
        <w:tc>
          <w:tcPr>
            <w:tcW w:w="1888" w:type="dxa"/>
          </w:tcPr>
          <w:p w:rsidR="006E77E9" w:rsidRPr="005059A1" w:rsidRDefault="006E77E9" w:rsidP="006E77E9">
            <w:pPr>
              <w:spacing w:after="0" w:line="240" w:lineRule="auto"/>
              <w:jc w:val="center"/>
              <w:rPr>
                <w:rFonts w:eastAsia="Times New Roman"/>
                <w:sz w:val="22"/>
              </w:rPr>
            </w:pPr>
            <w:r w:rsidRPr="005059A1">
              <w:rPr>
                <w:rFonts w:eastAsia="Times New Roman"/>
                <w:sz w:val="22"/>
              </w:rPr>
              <w:t>1/5</w:t>
            </w:r>
          </w:p>
        </w:tc>
      </w:tr>
      <w:tr w:rsidR="006E77E9" w:rsidRPr="005059A1" w:rsidTr="006E77E9">
        <w:tc>
          <w:tcPr>
            <w:tcW w:w="2309" w:type="dxa"/>
          </w:tcPr>
          <w:p w:rsidR="006E77E9" w:rsidRPr="005059A1" w:rsidRDefault="006E77E9" w:rsidP="006E77E9">
            <w:pPr>
              <w:spacing w:after="0" w:line="240" w:lineRule="auto"/>
              <w:rPr>
                <w:rFonts w:eastAsia="Times New Roman"/>
                <w:sz w:val="22"/>
              </w:rPr>
            </w:pPr>
            <w:r w:rsidRPr="005059A1">
              <w:rPr>
                <w:rFonts w:eastAsia="Times New Roman"/>
                <w:sz w:val="22"/>
              </w:rPr>
              <w:t>7500 - 30000</w:t>
            </w:r>
          </w:p>
        </w:tc>
        <w:tc>
          <w:tcPr>
            <w:tcW w:w="2344" w:type="dxa"/>
          </w:tcPr>
          <w:p w:rsidR="006E77E9" w:rsidRPr="005059A1" w:rsidRDefault="006E77E9" w:rsidP="006E77E9">
            <w:pPr>
              <w:spacing w:after="0" w:line="240" w:lineRule="auto"/>
              <w:jc w:val="center"/>
              <w:rPr>
                <w:rFonts w:eastAsia="Times New Roman"/>
                <w:sz w:val="22"/>
              </w:rPr>
            </w:pPr>
            <w:r w:rsidRPr="005059A1">
              <w:rPr>
                <w:rFonts w:eastAsia="Times New Roman"/>
                <w:sz w:val="22"/>
              </w:rPr>
              <w:t>1/3</w:t>
            </w:r>
          </w:p>
        </w:tc>
        <w:tc>
          <w:tcPr>
            <w:tcW w:w="2297" w:type="dxa"/>
          </w:tcPr>
          <w:p w:rsidR="006E77E9" w:rsidRPr="005059A1" w:rsidRDefault="006E77E9" w:rsidP="006E77E9">
            <w:pPr>
              <w:spacing w:after="0" w:line="240" w:lineRule="auto"/>
              <w:jc w:val="center"/>
              <w:rPr>
                <w:rFonts w:eastAsia="Times New Roman"/>
                <w:sz w:val="22"/>
              </w:rPr>
            </w:pPr>
            <w:r w:rsidRPr="005059A1">
              <w:rPr>
                <w:rFonts w:eastAsia="Times New Roman"/>
                <w:sz w:val="22"/>
              </w:rPr>
              <w:t>1/3</w:t>
            </w:r>
          </w:p>
        </w:tc>
        <w:tc>
          <w:tcPr>
            <w:tcW w:w="1888" w:type="dxa"/>
          </w:tcPr>
          <w:p w:rsidR="006E77E9" w:rsidRPr="005059A1" w:rsidRDefault="006E77E9" w:rsidP="006E77E9">
            <w:pPr>
              <w:spacing w:after="0" w:line="240" w:lineRule="auto"/>
              <w:jc w:val="center"/>
              <w:rPr>
                <w:rFonts w:eastAsia="Times New Roman"/>
                <w:sz w:val="22"/>
              </w:rPr>
            </w:pPr>
            <w:r w:rsidRPr="005059A1">
              <w:rPr>
                <w:rFonts w:eastAsia="Times New Roman"/>
                <w:sz w:val="22"/>
              </w:rPr>
              <w:t>1/3</w:t>
            </w:r>
          </w:p>
        </w:tc>
      </w:tr>
      <w:tr w:rsidR="006E77E9" w:rsidRPr="005059A1" w:rsidTr="006E77E9">
        <w:tc>
          <w:tcPr>
            <w:tcW w:w="2309" w:type="dxa"/>
            <w:tcBorders>
              <w:bottom w:val="single" w:sz="4" w:space="0" w:color="auto"/>
            </w:tcBorders>
          </w:tcPr>
          <w:p w:rsidR="006E77E9" w:rsidRPr="005059A1" w:rsidRDefault="006E77E9" w:rsidP="006E77E9">
            <w:pPr>
              <w:spacing w:after="0" w:line="240" w:lineRule="auto"/>
              <w:rPr>
                <w:rFonts w:eastAsia="Times New Roman"/>
                <w:sz w:val="22"/>
              </w:rPr>
            </w:pPr>
            <w:r w:rsidRPr="005059A1">
              <w:rPr>
                <w:rFonts w:eastAsia="Times New Roman"/>
                <w:sz w:val="22"/>
              </w:rPr>
              <w:t>30000 +</w:t>
            </w:r>
          </w:p>
        </w:tc>
        <w:tc>
          <w:tcPr>
            <w:tcW w:w="2344" w:type="dxa"/>
            <w:tcBorders>
              <w:bottom w:val="single" w:sz="4" w:space="0" w:color="auto"/>
            </w:tcBorders>
          </w:tcPr>
          <w:p w:rsidR="006E77E9" w:rsidRPr="005059A1" w:rsidRDefault="006E77E9" w:rsidP="006E77E9">
            <w:pPr>
              <w:spacing w:after="0" w:line="240" w:lineRule="auto"/>
              <w:jc w:val="center"/>
              <w:rPr>
                <w:rFonts w:eastAsia="Times New Roman"/>
                <w:sz w:val="22"/>
              </w:rPr>
            </w:pPr>
            <w:r w:rsidRPr="005059A1">
              <w:rPr>
                <w:rFonts w:eastAsia="Times New Roman"/>
                <w:sz w:val="22"/>
              </w:rPr>
              <w:t>2/5</w:t>
            </w:r>
          </w:p>
        </w:tc>
        <w:tc>
          <w:tcPr>
            <w:tcW w:w="2297" w:type="dxa"/>
            <w:tcBorders>
              <w:bottom w:val="single" w:sz="4" w:space="0" w:color="auto"/>
            </w:tcBorders>
          </w:tcPr>
          <w:p w:rsidR="006E77E9" w:rsidRPr="005059A1" w:rsidRDefault="006E77E9" w:rsidP="006E77E9">
            <w:pPr>
              <w:spacing w:after="0" w:line="240" w:lineRule="auto"/>
              <w:jc w:val="center"/>
              <w:rPr>
                <w:rFonts w:eastAsia="Times New Roman"/>
                <w:sz w:val="22"/>
              </w:rPr>
            </w:pPr>
            <w:r w:rsidRPr="005059A1">
              <w:rPr>
                <w:rFonts w:eastAsia="Times New Roman"/>
                <w:sz w:val="22"/>
              </w:rPr>
              <w:t>2/5</w:t>
            </w:r>
          </w:p>
        </w:tc>
        <w:tc>
          <w:tcPr>
            <w:tcW w:w="1888" w:type="dxa"/>
            <w:tcBorders>
              <w:bottom w:val="single" w:sz="4" w:space="0" w:color="auto"/>
            </w:tcBorders>
          </w:tcPr>
          <w:p w:rsidR="006E77E9" w:rsidRPr="005059A1" w:rsidRDefault="006E77E9" w:rsidP="006E77E9">
            <w:pPr>
              <w:spacing w:after="0" w:line="240" w:lineRule="auto"/>
              <w:jc w:val="center"/>
              <w:rPr>
                <w:rFonts w:eastAsia="Times New Roman"/>
                <w:sz w:val="22"/>
              </w:rPr>
            </w:pPr>
            <w:r w:rsidRPr="005059A1">
              <w:rPr>
                <w:rFonts w:eastAsia="Times New Roman"/>
                <w:sz w:val="22"/>
              </w:rPr>
              <w:t>1/5</w:t>
            </w:r>
          </w:p>
        </w:tc>
      </w:tr>
    </w:tbl>
    <w:p w:rsidR="006E77E9" w:rsidRDefault="006E77E9"/>
    <w:p w:rsidR="006E77E9" w:rsidRDefault="006E77E9"/>
    <w:p w:rsidR="006E77E9" w:rsidRDefault="006E77E9"/>
    <w:p w:rsidR="006E77E9" w:rsidRDefault="006E77E9"/>
    <w:p w:rsidR="006E77E9" w:rsidRDefault="006E77E9"/>
    <w:p w:rsidR="006E77E9" w:rsidRPr="00A03D60" w:rsidRDefault="006E77E9" w:rsidP="006E77E9">
      <w:pPr>
        <w:spacing w:line="240" w:lineRule="auto"/>
        <w:rPr>
          <w:szCs w:val="24"/>
        </w:rPr>
      </w:pPr>
      <w:r w:rsidRPr="00A03D60">
        <w:rPr>
          <w:szCs w:val="24"/>
        </w:rPr>
        <w:t>More than 1,300 SOS germplasm accessions were processed by Plant Introduction in 2010. An equal or greater number of accessions will likely be processed in 2011. The rate of SOS germplasm entering NPGS has doubled relative to the 2005-2009</w:t>
      </w:r>
      <w:r>
        <w:rPr>
          <w:szCs w:val="24"/>
        </w:rPr>
        <w:t xml:space="preserve"> time</w:t>
      </w:r>
      <w:r w:rsidRPr="00A03D60">
        <w:rPr>
          <w:szCs w:val="24"/>
        </w:rPr>
        <w:t xml:space="preserve"> period.</w:t>
      </w:r>
    </w:p>
    <w:p w:rsidR="006E77E9" w:rsidRPr="00737680" w:rsidRDefault="006E77E9" w:rsidP="006E77E9">
      <w:pPr>
        <w:spacing w:line="240" w:lineRule="auto"/>
        <w:rPr>
          <w:szCs w:val="24"/>
        </w:rPr>
      </w:pPr>
      <w:r w:rsidRPr="000B27BA">
        <w:rPr>
          <w:b/>
          <w:szCs w:val="24"/>
        </w:rPr>
        <w:t>Distribution</w:t>
      </w:r>
    </w:p>
    <w:p w:rsidR="006E77E9" w:rsidRDefault="006E77E9" w:rsidP="006E77E9">
      <w:pPr>
        <w:rPr>
          <w:szCs w:val="24"/>
        </w:rPr>
      </w:pPr>
      <w:r w:rsidRPr="00A03D60">
        <w:rPr>
          <w:szCs w:val="24"/>
        </w:rPr>
        <w:t>Accessions having a working collection component are typically available for distribution from NPGS. Between one and two hundred seed are provided for each accession ordered.</w:t>
      </w:r>
    </w:p>
    <w:p w:rsidR="006E77E9" w:rsidRDefault="006E77E9" w:rsidP="006E77E9">
      <w:pPr>
        <w:rPr>
          <w:szCs w:val="24"/>
        </w:rPr>
      </w:pPr>
      <w:r>
        <w:rPr>
          <w:szCs w:val="24"/>
        </w:rPr>
        <w:t>To search for seed held within the NPGS, use the GRIN website (</w:t>
      </w:r>
      <w:hyperlink r:id="rId5" w:history="1">
        <w:r w:rsidRPr="00363933">
          <w:rPr>
            <w:rStyle w:val="Hyperlink"/>
            <w:szCs w:val="24"/>
          </w:rPr>
          <w:t>http://www.ars-grin.gov/npgs/orders.html</w:t>
        </w:r>
      </w:hyperlink>
      <w:r>
        <w:rPr>
          <w:szCs w:val="24"/>
        </w:rPr>
        <w:t>)</w:t>
      </w:r>
      <w:r w:rsidR="000158CF">
        <w:rPr>
          <w:szCs w:val="24"/>
        </w:rPr>
        <w:t xml:space="preserve"> to locate collections</w:t>
      </w:r>
      <w:r>
        <w:rPr>
          <w:szCs w:val="24"/>
        </w:rPr>
        <w:t xml:space="preserve">.  </w:t>
      </w:r>
    </w:p>
    <w:p w:rsidR="006E77E9" w:rsidRDefault="006E77E9" w:rsidP="006E77E9">
      <w:pPr>
        <w:spacing w:after="0"/>
        <w:rPr>
          <w:szCs w:val="24"/>
        </w:rPr>
      </w:pPr>
      <w:r>
        <w:rPr>
          <w:szCs w:val="24"/>
        </w:rPr>
        <w:t>Mike Cashman, Native Plant Biologist</w:t>
      </w:r>
    </w:p>
    <w:p w:rsidR="006E77E9" w:rsidRDefault="006E77E9" w:rsidP="006E77E9">
      <w:pPr>
        <w:spacing w:after="0" w:line="240" w:lineRule="auto"/>
        <w:rPr>
          <w:szCs w:val="24"/>
        </w:rPr>
      </w:pPr>
      <w:r>
        <w:rPr>
          <w:szCs w:val="24"/>
        </w:rPr>
        <w:t xml:space="preserve">USDA-ARS, Pullman, WA 99164 </w:t>
      </w:r>
    </w:p>
    <w:p w:rsidR="006E77E9" w:rsidRPr="006E77E9" w:rsidRDefault="00586951" w:rsidP="006E77E9">
      <w:pPr>
        <w:spacing w:after="0" w:line="240" w:lineRule="auto"/>
        <w:rPr>
          <w:szCs w:val="24"/>
        </w:rPr>
      </w:pPr>
      <w:r>
        <w:rPr>
          <w:szCs w:val="24"/>
        </w:rPr>
        <w:t>Mike.cashman@</w:t>
      </w:r>
      <w:r w:rsidR="006E77E9" w:rsidRPr="00D92222">
        <w:rPr>
          <w:szCs w:val="24"/>
        </w:rPr>
        <w:t>ars.</w:t>
      </w:r>
      <w:r>
        <w:rPr>
          <w:szCs w:val="24"/>
        </w:rPr>
        <w:t>usda.</w:t>
      </w:r>
      <w:bookmarkStart w:id="0" w:name="_GoBack"/>
      <w:bookmarkEnd w:id="0"/>
      <w:r w:rsidR="006E77E9" w:rsidRPr="00D92222">
        <w:rPr>
          <w:szCs w:val="24"/>
        </w:rPr>
        <w:t>gov</w:t>
      </w:r>
      <w:r w:rsidR="006E77E9">
        <w:rPr>
          <w:szCs w:val="24"/>
        </w:rPr>
        <w:t>, (509) 335-6219</w:t>
      </w:r>
    </w:p>
    <w:sectPr w:rsidR="006E77E9" w:rsidRPr="006E77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7E9"/>
    <w:rsid w:val="000158CF"/>
    <w:rsid w:val="000F2838"/>
    <w:rsid w:val="004B680B"/>
    <w:rsid w:val="004C7137"/>
    <w:rsid w:val="00586951"/>
    <w:rsid w:val="005D2DEB"/>
    <w:rsid w:val="006E77E9"/>
    <w:rsid w:val="007F1DD3"/>
    <w:rsid w:val="00863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E9"/>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7E9"/>
    <w:rPr>
      <w:color w:val="0000FF" w:themeColor="hyperlink"/>
      <w:u w:val="single"/>
    </w:rPr>
  </w:style>
  <w:style w:type="paragraph" w:styleId="NoSpacing">
    <w:name w:val="No Spacing"/>
    <w:uiPriority w:val="1"/>
    <w:qFormat/>
    <w:rsid w:val="007F1DD3"/>
    <w:pPr>
      <w:spacing w:after="0" w:line="240" w:lineRule="auto"/>
    </w:pPr>
    <w:rPr>
      <w:rFonts w:ascii="Times New Roman" w:eastAsia="Calibri" w:hAnsi="Times New Roman" w:cs="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7E9"/>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77E9"/>
    <w:rPr>
      <w:color w:val="0000FF" w:themeColor="hyperlink"/>
      <w:u w:val="single"/>
    </w:rPr>
  </w:style>
  <w:style w:type="paragraph" w:styleId="NoSpacing">
    <w:name w:val="No Spacing"/>
    <w:uiPriority w:val="1"/>
    <w:qFormat/>
    <w:rsid w:val="007F1DD3"/>
    <w:pPr>
      <w:spacing w:after="0" w:line="240" w:lineRule="auto"/>
    </w:pPr>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rs-grin.gov/npgs/order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Bureau of Land Management</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mahaidet</dc:creator>
  <cp:keywords/>
  <dc:description/>
  <cp:lastModifiedBy>mahaidet</cp:lastModifiedBy>
  <cp:revision>3</cp:revision>
  <dcterms:created xsi:type="dcterms:W3CDTF">2011-09-27T14:34:00Z</dcterms:created>
  <dcterms:modified xsi:type="dcterms:W3CDTF">2011-10-27T13:43:00Z</dcterms:modified>
</cp:coreProperties>
</file>