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34" w:rsidRDefault="004C1334" w:rsidP="004C1334">
      <w:bookmarkStart w:id="0" w:name="_MailOriginal"/>
    </w:p>
    <w:tbl>
      <w:tblPr>
        <w:tblW w:w="0" w:type="auto"/>
        <w:tblCellMar>
          <w:left w:w="0" w:type="dxa"/>
          <w:right w:w="0" w:type="dxa"/>
        </w:tblCellMar>
        <w:tblLook w:val="04A0" w:firstRow="1" w:lastRow="0" w:firstColumn="1" w:lastColumn="0" w:noHBand="0" w:noVBand="1"/>
      </w:tblPr>
      <w:tblGrid>
        <w:gridCol w:w="3116"/>
        <w:gridCol w:w="3117"/>
        <w:gridCol w:w="3117"/>
      </w:tblGrid>
      <w:tr w:rsidR="004C1334" w:rsidTr="004C1334">
        <w:tc>
          <w:tcPr>
            <w:tcW w:w="3116" w:type="dxa"/>
            <w:hideMark/>
          </w:tcPr>
          <w:p w:rsidR="004C1334" w:rsidRDefault="004C1334">
            <w:pPr>
              <w:rPr>
                <w:rFonts w:ascii="Palatino Linotype" w:hAnsi="Palatino Linotype"/>
              </w:rPr>
            </w:pPr>
            <w:r>
              <w:rPr>
                <w:rFonts w:ascii="Palatino Linotype" w:hAnsi="Palatino Linotype"/>
                <w:noProof/>
              </w:rPr>
              <w:drawing>
                <wp:inline distT="0" distB="0" distL="0" distR="0" wp14:anchorId="57807104" wp14:editId="757C91E6">
                  <wp:extent cx="1604010" cy="588010"/>
                  <wp:effectExtent l="0" t="0" r="0" b="2540"/>
                  <wp:docPr id="8" name="Picture 8" descr="cid:image009.png@01D1581E.417B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9.png@01D1581E.417B7C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4010" cy="588010"/>
                          </a:xfrm>
                          <a:prstGeom prst="rect">
                            <a:avLst/>
                          </a:prstGeom>
                          <a:noFill/>
                          <a:ln>
                            <a:noFill/>
                          </a:ln>
                        </pic:spPr>
                      </pic:pic>
                    </a:graphicData>
                  </a:graphic>
                </wp:inline>
              </w:drawing>
            </w:r>
          </w:p>
        </w:tc>
        <w:tc>
          <w:tcPr>
            <w:tcW w:w="3117" w:type="dxa"/>
          </w:tcPr>
          <w:p w:rsidR="004C1334" w:rsidRDefault="004C1334">
            <w:pPr>
              <w:rPr>
                <w:rFonts w:ascii="Palatino Linotype" w:hAnsi="Palatino Linotype"/>
              </w:rPr>
            </w:pPr>
          </w:p>
        </w:tc>
        <w:tc>
          <w:tcPr>
            <w:tcW w:w="3117" w:type="dxa"/>
            <w:hideMark/>
          </w:tcPr>
          <w:p w:rsidR="004C1334" w:rsidRDefault="004C1334">
            <w:pPr>
              <w:jc w:val="right"/>
              <w:rPr>
                <w:rFonts w:ascii="Palatino Linotype" w:hAnsi="Palatino Linotype"/>
              </w:rPr>
            </w:pPr>
            <w:r>
              <w:rPr>
                <w:rFonts w:ascii="Palatino Linotype" w:hAnsi="Palatino Linotype"/>
                <w:noProof/>
              </w:rPr>
              <w:drawing>
                <wp:inline distT="0" distB="0" distL="0" distR="0" wp14:anchorId="46F61087" wp14:editId="68E4DB24">
                  <wp:extent cx="1466215" cy="588010"/>
                  <wp:effectExtent l="0" t="0" r="635" b="2540"/>
                  <wp:docPr id="7" name="Picture 7" descr="cid:image013.png@01D1581E.417B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3.png@01D1581E.417B7C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6215" cy="588010"/>
                          </a:xfrm>
                          <a:prstGeom prst="rect">
                            <a:avLst/>
                          </a:prstGeom>
                          <a:noFill/>
                          <a:ln>
                            <a:noFill/>
                          </a:ln>
                        </pic:spPr>
                      </pic:pic>
                    </a:graphicData>
                  </a:graphic>
                </wp:inline>
              </w:drawing>
            </w:r>
          </w:p>
        </w:tc>
      </w:tr>
    </w:tbl>
    <w:p w:rsidR="004C1334" w:rsidRDefault="004C1334" w:rsidP="004C1334">
      <w:pPr>
        <w:rPr>
          <w:rFonts w:ascii="Palatino Linotype" w:hAnsi="Palatino Linotype"/>
        </w:rPr>
      </w:pPr>
    </w:p>
    <w:p w:rsidR="004C1334" w:rsidRDefault="004C1334" w:rsidP="004C1334">
      <w:pPr>
        <w:pStyle w:val="Header"/>
        <w:rPr>
          <w:rFonts w:ascii="Times" w:hAnsi="Times" w:cs="Times"/>
        </w:rPr>
      </w:pPr>
    </w:p>
    <w:p w:rsidR="004C1334" w:rsidRDefault="004C1334" w:rsidP="004C1334">
      <w:pPr>
        <w:pStyle w:val="Heading1"/>
        <w:rPr>
          <w:rFonts w:ascii="Univers 47 CondensedLight" w:eastAsia="Times New Roman" w:hAnsi="Univers 47 CondensedLight"/>
        </w:rPr>
      </w:pPr>
      <w:r>
        <w:rPr>
          <w:rFonts w:eastAsia="Times New Roman"/>
        </w:rPr>
        <w:t>Technical Release</w:t>
      </w:r>
    </w:p>
    <w:p w:rsidR="004C1334" w:rsidRDefault="004C1334" w:rsidP="004C1334">
      <w:pPr>
        <w:rPr>
          <w:rFonts w:ascii="Palatino Linotype" w:hAnsi="Palatino Linotype"/>
        </w:rPr>
      </w:pPr>
    </w:p>
    <w:tbl>
      <w:tblPr>
        <w:tblW w:w="10285" w:type="dxa"/>
        <w:tblInd w:w="108" w:type="dxa"/>
        <w:tblCellMar>
          <w:left w:w="0" w:type="dxa"/>
          <w:right w:w="0" w:type="dxa"/>
        </w:tblCellMar>
        <w:tblLook w:val="04A0" w:firstRow="1" w:lastRow="0" w:firstColumn="1" w:lastColumn="0" w:noHBand="0" w:noVBand="1"/>
      </w:tblPr>
      <w:tblGrid>
        <w:gridCol w:w="2431"/>
        <w:gridCol w:w="2992"/>
        <w:gridCol w:w="2244"/>
        <w:gridCol w:w="2618"/>
      </w:tblGrid>
      <w:tr w:rsidR="004C1334" w:rsidTr="004C1334">
        <w:tc>
          <w:tcPr>
            <w:tcW w:w="2431" w:type="dxa"/>
            <w:hideMark/>
          </w:tcPr>
          <w:p w:rsidR="004C1334" w:rsidRDefault="004C1334">
            <w:pPr>
              <w:pStyle w:val="Header"/>
              <w:spacing w:before="60" w:after="60"/>
            </w:pPr>
            <w:r>
              <w:t>January 18, 2016</w:t>
            </w:r>
          </w:p>
        </w:tc>
        <w:tc>
          <w:tcPr>
            <w:tcW w:w="2992" w:type="dxa"/>
            <w:hideMark/>
          </w:tcPr>
          <w:p w:rsidR="004C1334" w:rsidRDefault="004C1334">
            <w:pPr>
              <w:spacing w:before="60" w:after="60"/>
            </w:pPr>
            <w:r>
              <w:t>Susan Kemp</w:t>
            </w:r>
          </w:p>
          <w:p w:rsidR="004C1334" w:rsidRDefault="004C1334">
            <w:pPr>
              <w:spacing w:before="60" w:after="60"/>
            </w:pPr>
            <w:r>
              <w:t>Cass Cairns</w:t>
            </w:r>
          </w:p>
        </w:tc>
        <w:tc>
          <w:tcPr>
            <w:tcW w:w="2244" w:type="dxa"/>
            <w:hideMark/>
          </w:tcPr>
          <w:p w:rsidR="004C1334" w:rsidRDefault="004C1334">
            <w:pPr>
              <w:spacing w:before="60" w:after="60"/>
            </w:pPr>
            <w:r>
              <w:t>541-750-1047</w:t>
            </w:r>
          </w:p>
          <w:p w:rsidR="004C1334" w:rsidRDefault="004C1334">
            <w:pPr>
              <w:spacing w:before="60" w:after="60"/>
            </w:pPr>
            <w:r>
              <w:t>970-498-1370</w:t>
            </w:r>
          </w:p>
        </w:tc>
        <w:tc>
          <w:tcPr>
            <w:tcW w:w="2618" w:type="dxa"/>
            <w:hideMark/>
          </w:tcPr>
          <w:p w:rsidR="004C1334" w:rsidRDefault="004C1334">
            <w:pPr>
              <w:spacing w:before="60" w:after="60"/>
            </w:pPr>
            <w:hyperlink r:id="rId10" w:history="1">
              <w:r>
                <w:rPr>
                  <w:rStyle w:val="Hyperlink"/>
                </w:rPr>
                <w:t>skemp@usgs.gov</w:t>
              </w:r>
            </w:hyperlink>
          </w:p>
          <w:p w:rsidR="004C1334" w:rsidRDefault="004C1334">
            <w:pPr>
              <w:spacing w:before="60" w:after="60"/>
            </w:pPr>
            <w:hyperlink r:id="rId11" w:history="1">
              <w:r>
                <w:rPr>
                  <w:rStyle w:val="Hyperlink"/>
                </w:rPr>
                <w:t>cfcairns@fs.fed.us</w:t>
              </w:r>
            </w:hyperlink>
            <w:r>
              <w:t xml:space="preserve"> </w:t>
            </w:r>
          </w:p>
        </w:tc>
      </w:tr>
    </w:tbl>
    <w:p w:rsidR="004C1334" w:rsidRDefault="004C1334" w:rsidP="004C1334">
      <w:pPr>
        <w:rPr>
          <w:rFonts w:ascii="Times" w:hAnsi="Times" w:cs="Times"/>
        </w:rPr>
      </w:pPr>
      <w:r>
        <w:rPr>
          <w:noProof/>
        </w:rPr>
        <w:drawing>
          <wp:anchor distT="4294967295" distB="4294967295" distL="114300" distR="114300" simplePos="0" relativeHeight="251658240" behindDoc="0" locked="0" layoutInCell="1" allowOverlap="1" wp14:anchorId="2EB7D496" wp14:editId="5D635688">
            <wp:simplePos x="0" y="0"/>
            <wp:positionH relativeFrom="column">
              <wp:posOffset>0</wp:posOffset>
            </wp:positionH>
            <wp:positionV relativeFrom="paragraph">
              <wp:posOffset>100965</wp:posOffset>
            </wp:positionV>
            <wp:extent cx="6524625" cy="9525"/>
            <wp:effectExtent l="0" t="0" r="9525" b="952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4625" cy="9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4A0" w:firstRow="1" w:lastRow="0" w:firstColumn="1" w:lastColumn="0" w:noHBand="0" w:noVBand="1"/>
      </w:tblPr>
      <w:tblGrid>
        <w:gridCol w:w="9576"/>
      </w:tblGrid>
      <w:tr w:rsidR="004C1334" w:rsidTr="004C1334">
        <w:tc>
          <w:tcPr>
            <w:tcW w:w="10252" w:type="dxa"/>
            <w:tcMar>
              <w:top w:w="0" w:type="dxa"/>
              <w:left w:w="108" w:type="dxa"/>
              <w:bottom w:w="0" w:type="dxa"/>
              <w:right w:w="108" w:type="dxa"/>
            </w:tcMar>
            <w:hideMark/>
          </w:tcPr>
          <w:p w:rsidR="004C1334" w:rsidRDefault="004C1334">
            <w:pPr>
              <w:spacing w:before="100" w:beforeAutospacing="1" w:after="100" w:afterAutospacing="1"/>
              <w:jc w:val="center"/>
              <w:rPr>
                <w:rFonts w:ascii="Times New Roman" w:hAnsi="Times New Roman"/>
                <w:sz w:val="32"/>
                <w:szCs w:val="32"/>
              </w:rPr>
            </w:pPr>
            <w:r>
              <w:rPr>
                <w:rFonts w:ascii="Times New Roman" w:hAnsi="Times New Roman"/>
                <w:b/>
                <w:bCs/>
                <w:sz w:val="32"/>
                <w:szCs w:val="32"/>
              </w:rPr>
              <w:t>New Invasive Annual Grass Book Addresses Critical Questions for the Western United States</w:t>
            </w:r>
          </w:p>
          <w:p w:rsidR="004C1334" w:rsidRDefault="004C1334">
            <w:pPr>
              <w:pStyle w:val="NormalWeb"/>
            </w:pPr>
            <w:r>
              <w:rPr>
                <w:b/>
                <w:bCs/>
              </w:rPr>
              <w:t xml:space="preserve">BOISE, ID., </w:t>
            </w:r>
            <w:r>
              <w:t xml:space="preserve">Jan. 26, 2016 — </w:t>
            </w:r>
            <w:proofErr w:type="spellStart"/>
            <w:r>
              <w:rPr>
                <w:i/>
                <w:iCs/>
              </w:rPr>
              <w:t>Bromus</w:t>
            </w:r>
            <w:proofErr w:type="spellEnd"/>
            <w:r>
              <w:t xml:space="preserve"> species – such as </w:t>
            </w:r>
            <w:proofErr w:type="spellStart"/>
            <w:r>
              <w:t>cheatgrass</w:t>
            </w:r>
            <w:proofErr w:type="spellEnd"/>
            <w:r>
              <w:t xml:space="preserve"> – are exotic annual grasses that have become the dominant annual grasses in the western hemisphere. Their spread and impacts across the western U.S. continue despite the many attempts by land managers to control these species. A new book edited by scientists from the U.S. Geological Survey, U.S. Forest Service, and Colorado State University was released today and answers critical research, planning, and management questions about these species.                                                                                             </w:t>
            </w:r>
          </w:p>
          <w:tbl>
            <w:tblPr>
              <w:tblpPr w:leftFromText="187" w:rightFromText="187" w:topFromText="7" w:bottomFromText="7" w:vertAnchor="text" w:tblpXSpec="right" w:tblpYSpec="center"/>
              <w:tblW w:w="0" w:type="auto"/>
              <w:tblCellMar>
                <w:left w:w="0" w:type="dxa"/>
                <w:right w:w="0" w:type="dxa"/>
              </w:tblCellMar>
              <w:tblLook w:val="04A0" w:firstRow="1" w:lastRow="0" w:firstColumn="1" w:lastColumn="0" w:noHBand="0" w:noVBand="1"/>
            </w:tblPr>
            <w:tblGrid>
              <w:gridCol w:w="4686"/>
            </w:tblGrid>
            <w:tr w:rsidR="004C1334">
              <w:tc>
                <w:tcPr>
                  <w:tcW w:w="4680" w:type="dxa"/>
                  <w:vAlign w:val="center"/>
                  <w:hideMark/>
                </w:tcPr>
                <w:p w:rsidR="004C1334" w:rsidRDefault="004C1334">
                  <w:pPr>
                    <w:pStyle w:val="NormalWeb"/>
                    <w:jc w:val="center"/>
                  </w:pPr>
                  <w:r>
                    <w:rPr>
                      <w:noProof/>
                    </w:rPr>
                    <w:drawing>
                      <wp:inline distT="0" distB="0" distL="0" distR="0" wp14:anchorId="46FB89A8" wp14:editId="3ADCBB3D">
                        <wp:extent cx="2975610" cy="1981200"/>
                        <wp:effectExtent l="0" t="0" r="0" b="0"/>
                        <wp:docPr id="6" name="Picture 6" descr="cid:image015.jpg@01D1581E.417B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5.jpg@01D1581E.417B7C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75610" cy="1981200"/>
                                </a:xfrm>
                                <a:prstGeom prst="rect">
                                  <a:avLst/>
                                </a:prstGeom>
                                <a:noFill/>
                                <a:ln>
                                  <a:noFill/>
                                </a:ln>
                              </pic:spPr>
                            </pic:pic>
                          </a:graphicData>
                        </a:graphic>
                      </wp:inline>
                    </w:drawing>
                  </w:r>
                </w:p>
              </w:tc>
            </w:tr>
            <w:tr w:rsidR="004C1334">
              <w:tc>
                <w:tcPr>
                  <w:tcW w:w="4680" w:type="dxa"/>
                  <w:tcMar>
                    <w:top w:w="144" w:type="dxa"/>
                    <w:left w:w="0" w:type="dxa"/>
                    <w:bottom w:w="0" w:type="dxa"/>
                    <w:right w:w="0" w:type="dxa"/>
                  </w:tcMar>
                  <w:hideMark/>
                </w:tcPr>
                <w:p w:rsidR="004C1334" w:rsidRDefault="004C1334">
                  <w:pPr>
                    <w:pStyle w:val="NormalWeb"/>
                    <w:rPr>
                      <w:i/>
                      <w:iCs/>
                      <w:sz w:val="20"/>
                      <w:szCs w:val="20"/>
                    </w:rPr>
                  </w:pPr>
                  <w:r>
                    <w:rPr>
                      <w:rStyle w:val="Emphasis"/>
                      <w:sz w:val="20"/>
                      <w:szCs w:val="20"/>
                    </w:rPr>
                    <w:t xml:space="preserve">A view of Nevada's Santa Rosa Range with grasslands in the foreground (Photo by: Nolan </w:t>
                  </w:r>
                  <w:proofErr w:type="spellStart"/>
                  <w:r>
                    <w:rPr>
                      <w:rStyle w:val="Emphasis"/>
                      <w:sz w:val="20"/>
                      <w:szCs w:val="20"/>
                    </w:rPr>
                    <w:t>Preece</w:t>
                  </w:r>
                  <w:proofErr w:type="spellEnd"/>
                  <w:r>
                    <w:rPr>
                      <w:rStyle w:val="Emphasis"/>
                      <w:sz w:val="20"/>
                      <w:szCs w:val="20"/>
                    </w:rPr>
                    <w:t>)</w:t>
                  </w:r>
                </w:p>
              </w:tc>
            </w:tr>
          </w:tbl>
          <w:p w:rsidR="004C1334" w:rsidRDefault="004C1334">
            <w:pPr>
              <w:pStyle w:val="NormalWeb"/>
            </w:pPr>
            <w:r>
              <w:t xml:space="preserve">The Department of Interior Secretarial Order 3336 on Rangeland Fire Prevention, Management and Restoration directly addresses the need for </w:t>
            </w:r>
          </w:p>
          <w:p w:rsidR="004C1334" w:rsidRDefault="004C1334">
            <w:pPr>
              <w:pStyle w:val="NormalWeb"/>
            </w:pPr>
            <w:proofErr w:type="gramStart"/>
            <w:r>
              <w:t>additional</w:t>
            </w:r>
            <w:proofErr w:type="gramEnd"/>
            <w:r>
              <w:t xml:space="preserve"> science and research to unlock the key to controlling invasive exotic </w:t>
            </w:r>
            <w:proofErr w:type="spellStart"/>
            <w:r>
              <w:rPr>
                <w:rStyle w:val="Emphasis"/>
              </w:rPr>
              <w:t>Bromus</w:t>
            </w:r>
            <w:proofErr w:type="spellEnd"/>
            <w:r>
              <w:t xml:space="preserve"> grasses and developing tools to protect and support resistant and resilient sagebrush landscapes in the United States. Sagebrush habitat is essential for the survival of the greater sage-grouse and other wildlife species as well as for economic activities, such as ranching and recreation.</w:t>
            </w:r>
          </w:p>
          <w:p w:rsidR="004C1334" w:rsidRDefault="004C1334">
            <w:pPr>
              <w:pStyle w:val="NormalWeb"/>
            </w:pPr>
            <w:r>
              <w:t xml:space="preserve"> “There are nearly 150 species of </w:t>
            </w:r>
            <w:proofErr w:type="spellStart"/>
            <w:r>
              <w:rPr>
                <w:rStyle w:val="Emphasis"/>
              </w:rPr>
              <w:t>Bromus</w:t>
            </w:r>
            <w:proofErr w:type="spellEnd"/>
            <w:r>
              <w:t xml:space="preserve"> globally,” said Matthew </w:t>
            </w:r>
            <w:proofErr w:type="spellStart"/>
            <w:r>
              <w:t>Germino</w:t>
            </w:r>
            <w:proofErr w:type="spellEnd"/>
            <w:r>
              <w:t>, USGS ecologist and lead editor of the new book. “Despite the high number of studies and publications on the species that have invaded the western U.S., land managers still face challenges in controlling the spread and impact of these grasses across the landscape.”</w:t>
            </w:r>
          </w:p>
          <w:p w:rsidR="004C1334" w:rsidRDefault="004C1334">
            <w:pPr>
              <w:pStyle w:val="NormalWeb"/>
            </w:pPr>
            <w:r>
              <w:t xml:space="preserve">The book titled “Exotic Brome-Grasses in Arid and Semiarid Ecosystems of the Western U.S.: </w:t>
            </w:r>
            <w:r>
              <w:lastRenderedPageBreak/>
              <w:t xml:space="preserve">Causes, Consequences, and Management Implications,” synthesizes available literature on the biology, ecology, sociology, and economics of </w:t>
            </w:r>
            <w:proofErr w:type="spellStart"/>
            <w:r>
              <w:rPr>
                <w:rStyle w:val="Emphasis"/>
              </w:rPr>
              <w:t>Bromus</w:t>
            </w:r>
            <w:proofErr w:type="spellEnd"/>
            <w:r>
              <w:t xml:space="preserve"> grasses to develop a more complete picture of the factors that influence their invasiveness, impacts, and management in the western U.S.</w:t>
            </w:r>
          </w:p>
          <w:p w:rsidR="004C1334" w:rsidRDefault="004C1334">
            <w:pPr>
              <w:pStyle w:val="NormalWeb"/>
            </w:pPr>
            <w:r>
              <w:t>The synthesis helps to answer questions on:</w:t>
            </w:r>
          </w:p>
          <w:p w:rsidR="004C1334" w:rsidRDefault="004C1334" w:rsidP="00C00974">
            <w:pPr>
              <w:numPr>
                <w:ilvl w:val="0"/>
                <w:numId w:val="1"/>
              </w:numPr>
              <w:spacing w:before="100" w:beforeAutospacing="1" w:after="100" w:afterAutospacing="1"/>
              <w:rPr>
                <w:rFonts w:eastAsia="Times New Roman"/>
              </w:rPr>
            </w:pPr>
            <w:r>
              <w:rPr>
                <w:rFonts w:eastAsia="Times New Roman"/>
              </w:rPr>
              <w:t xml:space="preserve">The effects of environmental factors on </w:t>
            </w:r>
            <w:proofErr w:type="spellStart"/>
            <w:r>
              <w:rPr>
                <w:rStyle w:val="Emphasis"/>
                <w:rFonts w:eastAsia="Times New Roman"/>
              </w:rPr>
              <w:t>Bromus</w:t>
            </w:r>
            <w:proofErr w:type="spellEnd"/>
            <w:r>
              <w:rPr>
                <w:rFonts w:eastAsia="Times New Roman"/>
              </w:rPr>
              <w:t xml:space="preserve"> species distributions</w:t>
            </w:r>
          </w:p>
          <w:p w:rsidR="004C1334" w:rsidRDefault="004C1334" w:rsidP="00C00974">
            <w:pPr>
              <w:numPr>
                <w:ilvl w:val="0"/>
                <w:numId w:val="1"/>
              </w:numPr>
              <w:spacing w:before="100" w:beforeAutospacing="1" w:after="100" w:afterAutospacing="1"/>
              <w:rPr>
                <w:rFonts w:eastAsia="Times New Roman"/>
              </w:rPr>
            </w:pPr>
            <w:r>
              <w:rPr>
                <w:rFonts w:eastAsia="Times New Roman"/>
              </w:rPr>
              <w:t xml:space="preserve">Arid and semiarid ecosystem attributes and processes that influence resistance to invasion by </w:t>
            </w:r>
            <w:proofErr w:type="spellStart"/>
            <w:r>
              <w:rPr>
                <w:rStyle w:val="Emphasis"/>
                <w:rFonts w:eastAsia="Times New Roman"/>
              </w:rPr>
              <w:t>Bromus</w:t>
            </w:r>
            <w:proofErr w:type="spellEnd"/>
          </w:p>
          <w:p w:rsidR="004C1334" w:rsidRDefault="004C1334" w:rsidP="00C00974">
            <w:pPr>
              <w:numPr>
                <w:ilvl w:val="0"/>
                <w:numId w:val="1"/>
              </w:numPr>
              <w:spacing w:before="100" w:beforeAutospacing="1" w:after="100" w:afterAutospacing="1"/>
              <w:rPr>
                <w:rFonts w:eastAsia="Times New Roman"/>
              </w:rPr>
            </w:pPr>
            <w:r>
              <w:rPr>
                <w:rFonts w:eastAsia="Times New Roman"/>
              </w:rPr>
              <w:t xml:space="preserve">Traits of </w:t>
            </w:r>
            <w:proofErr w:type="spellStart"/>
            <w:r>
              <w:rPr>
                <w:rStyle w:val="Emphasis"/>
                <w:rFonts w:eastAsia="Times New Roman"/>
              </w:rPr>
              <w:t>Bromus</w:t>
            </w:r>
            <w:proofErr w:type="spellEnd"/>
            <w:r>
              <w:rPr>
                <w:rFonts w:eastAsia="Times New Roman"/>
              </w:rPr>
              <w:t xml:space="preserve"> species that contribute to their invasiveness</w:t>
            </w:r>
          </w:p>
          <w:p w:rsidR="004C1334" w:rsidRDefault="004C1334" w:rsidP="00C00974">
            <w:pPr>
              <w:numPr>
                <w:ilvl w:val="0"/>
                <w:numId w:val="1"/>
              </w:numPr>
              <w:spacing w:before="100" w:beforeAutospacing="1" w:after="100" w:afterAutospacing="1"/>
              <w:rPr>
                <w:rFonts w:eastAsia="Times New Roman"/>
              </w:rPr>
            </w:pPr>
            <w:r>
              <w:rPr>
                <w:rFonts w:eastAsia="Times New Roman"/>
              </w:rPr>
              <w:t xml:space="preserve">Impacts of </w:t>
            </w:r>
            <w:proofErr w:type="spellStart"/>
            <w:r>
              <w:rPr>
                <w:rStyle w:val="Emphasis"/>
                <w:rFonts w:eastAsia="Times New Roman"/>
              </w:rPr>
              <w:t>Bromus</w:t>
            </w:r>
            <w:proofErr w:type="spellEnd"/>
            <w:r>
              <w:rPr>
                <w:rFonts w:eastAsia="Times New Roman"/>
              </w:rPr>
              <w:t xml:space="preserve"> invasions on ecosystems</w:t>
            </w:r>
          </w:p>
          <w:p w:rsidR="004C1334" w:rsidRDefault="004C1334" w:rsidP="00C00974">
            <w:pPr>
              <w:numPr>
                <w:ilvl w:val="0"/>
                <w:numId w:val="1"/>
              </w:numPr>
              <w:spacing w:before="100" w:beforeAutospacing="1" w:after="100" w:afterAutospacing="1"/>
              <w:rPr>
                <w:rFonts w:eastAsia="Times New Roman"/>
              </w:rPr>
            </w:pPr>
            <w:r>
              <w:rPr>
                <w:rFonts w:eastAsia="Times New Roman"/>
              </w:rPr>
              <w:t xml:space="preserve">Effects of pathogens on </w:t>
            </w:r>
            <w:proofErr w:type="spellStart"/>
            <w:r>
              <w:rPr>
                <w:rStyle w:val="Emphasis"/>
                <w:rFonts w:eastAsia="Times New Roman"/>
              </w:rPr>
              <w:t>Bromus</w:t>
            </w:r>
            <w:proofErr w:type="spellEnd"/>
            <w:r>
              <w:rPr>
                <w:rFonts w:eastAsia="Times New Roman"/>
              </w:rPr>
              <w:t xml:space="preserve"> invasions and their potential for biocontrol</w:t>
            </w:r>
          </w:p>
          <w:p w:rsidR="004C1334" w:rsidRDefault="004C1334" w:rsidP="00C00974">
            <w:pPr>
              <w:numPr>
                <w:ilvl w:val="0"/>
                <w:numId w:val="1"/>
              </w:numPr>
              <w:spacing w:before="100" w:beforeAutospacing="1" w:after="100" w:afterAutospacing="1"/>
              <w:rPr>
                <w:rFonts w:eastAsia="Times New Roman"/>
              </w:rPr>
            </w:pPr>
            <w:r>
              <w:rPr>
                <w:rFonts w:eastAsia="Times New Roman"/>
              </w:rPr>
              <w:t xml:space="preserve">Effects of land uses on </w:t>
            </w:r>
            <w:proofErr w:type="spellStart"/>
            <w:r>
              <w:rPr>
                <w:rStyle w:val="Emphasis"/>
                <w:rFonts w:eastAsia="Times New Roman"/>
              </w:rPr>
              <w:t>Bromus</w:t>
            </w:r>
            <w:proofErr w:type="spellEnd"/>
            <w:r>
              <w:rPr>
                <w:rFonts w:eastAsia="Times New Roman"/>
              </w:rPr>
              <w:t xml:space="preserve"> invasions</w:t>
            </w:r>
          </w:p>
          <w:p w:rsidR="004C1334" w:rsidRDefault="004C1334" w:rsidP="00C00974">
            <w:pPr>
              <w:numPr>
                <w:ilvl w:val="0"/>
                <w:numId w:val="1"/>
              </w:numPr>
              <w:spacing w:before="100" w:beforeAutospacing="1" w:after="100" w:afterAutospacing="1"/>
              <w:rPr>
                <w:rFonts w:eastAsia="Times New Roman"/>
              </w:rPr>
            </w:pPr>
            <w:r>
              <w:rPr>
                <w:rFonts w:eastAsia="Times New Roman"/>
              </w:rPr>
              <w:t xml:space="preserve">Management options for exotic annual </w:t>
            </w:r>
            <w:proofErr w:type="spellStart"/>
            <w:r>
              <w:rPr>
                <w:rStyle w:val="Emphasis"/>
                <w:rFonts w:eastAsia="Times New Roman"/>
              </w:rPr>
              <w:t>Bromus</w:t>
            </w:r>
            <w:proofErr w:type="spellEnd"/>
            <w:r>
              <w:rPr>
                <w:rFonts w:eastAsia="Times New Roman"/>
              </w:rPr>
              <w:t xml:space="preserve"> and their application</w:t>
            </w:r>
          </w:p>
          <w:p w:rsidR="004C1334" w:rsidRDefault="004C1334" w:rsidP="00C00974">
            <w:pPr>
              <w:numPr>
                <w:ilvl w:val="0"/>
                <w:numId w:val="1"/>
              </w:numPr>
              <w:spacing w:before="100" w:beforeAutospacing="1" w:after="100" w:afterAutospacing="1"/>
              <w:rPr>
                <w:rFonts w:eastAsia="Times New Roman"/>
              </w:rPr>
            </w:pPr>
            <w:r>
              <w:rPr>
                <w:rFonts w:eastAsia="Times New Roman"/>
              </w:rPr>
              <w:t xml:space="preserve">Socioeconomic drivers and patterns of human response to </w:t>
            </w:r>
            <w:proofErr w:type="spellStart"/>
            <w:r>
              <w:rPr>
                <w:rStyle w:val="Emphasis"/>
                <w:rFonts w:eastAsia="Times New Roman"/>
              </w:rPr>
              <w:t>Bromus</w:t>
            </w:r>
            <w:proofErr w:type="spellEnd"/>
            <w:r>
              <w:rPr>
                <w:rFonts w:eastAsia="Times New Roman"/>
              </w:rPr>
              <w:t xml:space="preserve"> invasion</w:t>
            </w:r>
          </w:p>
          <w:p w:rsidR="004C1334" w:rsidRDefault="004C1334">
            <w:pPr>
              <w:pStyle w:val="NormalWeb"/>
            </w:pPr>
            <w:r>
              <w:t xml:space="preserve"> “The risks and problems associated with </w:t>
            </w:r>
            <w:proofErr w:type="spellStart"/>
            <w:r>
              <w:rPr>
                <w:rStyle w:val="Emphasis"/>
              </w:rPr>
              <w:t>Bromus</w:t>
            </w:r>
            <w:proofErr w:type="spellEnd"/>
            <w:r>
              <w:t xml:space="preserve"> have been known in the U.S. for decades, but much of the past research was done to answer questions at local scales and focused on only a few causal factors,” said Jeanne Chambers, USFS research ecologist with the Rocky Mountain Research Station and co-editor. “Today, </w:t>
            </w:r>
            <w:proofErr w:type="spellStart"/>
            <w:r>
              <w:rPr>
                <w:rStyle w:val="Emphasis"/>
              </w:rPr>
              <w:t>Bromus</w:t>
            </w:r>
            <w:proofErr w:type="spellEnd"/>
            <w:r>
              <w:t xml:space="preserve"> grass impacts are large scale and influenced by many interacting factors requiring a more holistic approach.”</w:t>
            </w:r>
          </w:p>
          <w:p w:rsidR="004C1334" w:rsidRDefault="004C1334">
            <w:pPr>
              <w:pStyle w:val="NormalWeb"/>
            </w:pPr>
            <w:r>
              <w:t xml:space="preserve">The book is the result of funding provided by the U.S. Department of Agriculture, Research, Extension, and Education Network – or </w:t>
            </w:r>
            <w:proofErr w:type="spellStart"/>
            <w:r>
              <w:t>REEnet</w:t>
            </w:r>
            <w:proofErr w:type="spellEnd"/>
            <w:r>
              <w:t xml:space="preserve"> – which brought together a diverse range of public agency and university specialists from around the U.S. to generate and refine ideas on </w:t>
            </w:r>
            <w:proofErr w:type="spellStart"/>
            <w:r>
              <w:rPr>
                <w:rStyle w:val="Emphasis"/>
              </w:rPr>
              <w:t>Bromus</w:t>
            </w:r>
            <w:proofErr w:type="spellEnd"/>
            <w:r>
              <w:t xml:space="preserve"> grasses. Lessons learned from this synthesis can be used to address impacts of species like </w:t>
            </w:r>
            <w:proofErr w:type="spellStart"/>
            <w:r>
              <w:t>cheatgrass</w:t>
            </w:r>
            <w:proofErr w:type="spellEnd"/>
            <w:r>
              <w:t xml:space="preserve"> on the sagebrush-steppe which support over 350 wildlife species, including greater sage-grouse.</w:t>
            </w:r>
          </w:p>
          <w:p w:rsidR="004C1334" w:rsidRDefault="004C1334">
            <w:pPr>
              <w:pStyle w:val="NormalWeb"/>
            </w:pPr>
            <w:r>
              <w:t>Greater sage-grouse occur in parts of 11 U.S. states and 2 Canadian provinces in western North America.  Implementation of effective management actions for the benefit of sage-grouse continues to be a focus of Department of the Interior agencies following the decision by the U.S. Fish and Wildlife Service that the species is not warranted for listing under the Endangered Species Act.</w:t>
            </w:r>
          </w:p>
          <w:p w:rsidR="004C1334" w:rsidRDefault="004C1334">
            <w:pPr>
              <w:jc w:val="center"/>
              <w:rPr>
                <w:rFonts w:eastAsia="Times New Roman"/>
              </w:rPr>
            </w:pPr>
            <w:r>
              <w:rPr>
                <w:rFonts w:eastAsia="Times New Roman"/>
              </w:rPr>
              <w:pict>
                <v:rect id="_x0000_i1025" style="width:468pt;height:1.5pt" o:hralign="center" o:hrstd="t" o:hr="t" fillcolor="#a0a0a0" stroked="f"/>
              </w:pict>
            </w:r>
          </w:p>
          <w:p w:rsidR="004C1334" w:rsidRDefault="004C1334">
            <w:pPr>
              <w:pStyle w:val="NormalWeb"/>
            </w:pPr>
            <w:r>
              <w:t xml:space="preserve">USGS provides science for a changing world. Visit </w:t>
            </w:r>
            <w:hyperlink r:id="rId15" w:history="1">
              <w:r>
                <w:rPr>
                  <w:rStyle w:val="Hyperlink"/>
                </w:rPr>
                <w:t>USGS.gov</w:t>
              </w:r>
            </w:hyperlink>
            <w:r>
              <w:t xml:space="preserve">, and follow us on Twitter </w:t>
            </w:r>
            <w:hyperlink r:id="rId16" w:history="1">
              <w:r>
                <w:rPr>
                  <w:rStyle w:val="Hyperlink"/>
                </w:rPr>
                <w:t>@USGS</w:t>
              </w:r>
            </w:hyperlink>
            <w:r>
              <w:t xml:space="preserve"> and our other </w:t>
            </w:r>
            <w:hyperlink r:id="rId17" w:history="1">
              <w:r>
                <w:rPr>
                  <w:rStyle w:val="Hyperlink"/>
                </w:rPr>
                <w:t>social media channels</w:t>
              </w:r>
            </w:hyperlink>
            <w:r>
              <w:t>.</w:t>
            </w:r>
          </w:p>
          <w:p w:rsidR="004C1334" w:rsidRDefault="004C1334">
            <w:pPr>
              <w:pStyle w:val="NormalWeb"/>
            </w:pPr>
            <w:r>
              <w:t xml:space="preserve">Subscribe to our news releases via </w:t>
            </w:r>
            <w:hyperlink r:id="rId18" w:history="1">
              <w:r>
                <w:rPr>
                  <w:rStyle w:val="Hyperlink"/>
                </w:rPr>
                <w:t>e-mail</w:t>
              </w:r>
            </w:hyperlink>
            <w:r>
              <w:t xml:space="preserve">, </w:t>
            </w:r>
            <w:hyperlink r:id="rId19" w:history="1">
              <w:r>
                <w:rPr>
                  <w:rStyle w:val="Hyperlink"/>
                </w:rPr>
                <w:t>RSS</w:t>
              </w:r>
            </w:hyperlink>
            <w:r>
              <w:t xml:space="preserve"> or </w:t>
            </w:r>
            <w:hyperlink r:id="rId20" w:history="1">
              <w:r>
                <w:rPr>
                  <w:rStyle w:val="Hyperlink"/>
                </w:rPr>
                <w:t>Twitter</w:t>
              </w:r>
            </w:hyperlink>
            <w:r>
              <w:t>.</w:t>
            </w:r>
          </w:p>
          <w:p w:rsidR="004C1334" w:rsidRDefault="004C1334">
            <w:pPr>
              <w:jc w:val="center"/>
              <w:rPr>
                <w:rFonts w:eastAsia="Times New Roman"/>
              </w:rPr>
            </w:pPr>
            <w:r>
              <w:rPr>
                <w:rFonts w:eastAsia="Times New Roman"/>
              </w:rPr>
              <w:pict>
                <v:rect id="_x0000_i1026" style="width:468pt;height:1.5pt" o:hralign="center" o:hrstd="t" o:hr="t" fillcolor="#a0a0a0" stroked="f"/>
              </w:pict>
            </w:r>
          </w:p>
          <w:p w:rsidR="004C1334" w:rsidRDefault="004C1334">
            <w:pPr>
              <w:pStyle w:val="NormalWeb"/>
            </w:pPr>
            <w:r>
              <w:rPr>
                <w:rStyle w:val="Emphasis"/>
              </w:rPr>
              <w:t>USDA is an equal opportunity provider, employer, and lender.</w:t>
            </w:r>
          </w:p>
          <w:p w:rsidR="004C1334" w:rsidRDefault="004C1334">
            <w:pPr>
              <w:pStyle w:val="NormalWeb"/>
            </w:pPr>
            <w:r>
              <w:rPr>
                <w:rStyle w:val="Emphasis"/>
              </w:rPr>
              <w:lastRenderedPageBreak/>
              <w:t xml:space="preserve">The Rocky Mountain Research Station is one of five regional units that make up the U.S. Forest Service Research and Development organization – the most extensive natural resources research organization in the world. The Station maintains 12 field laboratories throughout a 12-state territory encompassing the Great Basin, Southwest, Rocky Mountains, and parts of the Great Plains, and administers and conducts research on 14 experimental forests, ranges, and watersheds, while maintaining long-term databases for these areas. While anchored in the geography of the West our research is global in scale. RMRS research is broken into eight science program areas that serve the Forest Service as well as other federal and state agencies, international organizations, private groups and individuals. To find out more about the RMRS go to </w:t>
            </w:r>
            <w:hyperlink r:id="rId21" w:history="1">
              <w:r>
                <w:rPr>
                  <w:rStyle w:val="Emphasis"/>
                  <w:color w:val="0000FF"/>
                </w:rPr>
                <w:t>www.fs.fed.us/rmrs</w:t>
              </w:r>
            </w:hyperlink>
            <w:r>
              <w:rPr>
                <w:rStyle w:val="Emphasis"/>
              </w:rPr>
              <w:t xml:space="preserve">. You can also follow us on Twitter at </w:t>
            </w:r>
            <w:hyperlink r:id="rId22" w:history="1">
              <w:r>
                <w:rPr>
                  <w:rStyle w:val="Emphasis"/>
                  <w:color w:val="0000FF"/>
                </w:rPr>
                <w:t>www.twitter.com/usfs_rmrs</w:t>
              </w:r>
            </w:hyperlink>
          </w:p>
          <w:p w:rsidR="004C1334" w:rsidRDefault="004C1334">
            <w:pPr>
              <w:jc w:val="center"/>
              <w:rPr>
                <w:rFonts w:ascii="Times New Roman" w:hAnsi="Times New Roman"/>
                <w:b/>
                <w:bCs/>
                <w:sz w:val="27"/>
                <w:szCs w:val="27"/>
              </w:rPr>
            </w:pPr>
            <w:r>
              <w:t>###</w:t>
            </w:r>
          </w:p>
        </w:tc>
      </w:tr>
    </w:tbl>
    <w:p w:rsidR="004C1334" w:rsidRDefault="004C1334" w:rsidP="004C1334">
      <w:pPr>
        <w:spacing w:before="100" w:beforeAutospacing="1" w:after="100" w:afterAutospacing="1"/>
        <w:rPr>
          <w:rFonts w:ascii="Times New Roman" w:hAnsi="Times New Roman"/>
          <w:b/>
          <w:bCs/>
          <w:sz w:val="27"/>
          <w:szCs w:val="27"/>
        </w:rPr>
      </w:pPr>
    </w:p>
    <w:p w:rsidR="004C1334" w:rsidRDefault="004C1334" w:rsidP="004C1334">
      <w:pPr>
        <w:rPr>
          <w:rFonts w:ascii="Palatino Linotype" w:hAnsi="Palatino Linotype"/>
        </w:rPr>
      </w:pPr>
    </w:p>
    <w:p w:rsidR="004C1334" w:rsidRDefault="004C1334" w:rsidP="004C1334">
      <w:r>
        <w:rPr>
          <w:noProof/>
        </w:rPr>
        <w:drawing>
          <wp:inline distT="0" distB="0" distL="0" distR="0" wp14:anchorId="4107D865" wp14:editId="65056E3C">
            <wp:extent cx="2438400" cy="450215"/>
            <wp:effectExtent l="0" t="0" r="0" b="6985"/>
            <wp:docPr id="5" name="Picture 5" descr="Centennial Taglin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nnial Tagline2-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38400" cy="450215"/>
                    </a:xfrm>
                    <a:prstGeom prst="rect">
                      <a:avLst/>
                    </a:prstGeom>
                    <a:noFill/>
                    <a:ln>
                      <a:noFill/>
                    </a:ln>
                  </pic:spPr>
                </pic:pic>
              </a:graphicData>
            </a:graphic>
          </wp:inline>
        </w:drawing>
      </w:r>
    </w:p>
    <w:p w:rsidR="004C1334" w:rsidRDefault="004C1334" w:rsidP="004C1334"/>
    <w:tbl>
      <w:tblPr>
        <w:tblW w:w="0" w:type="auto"/>
        <w:tblCellSpacing w:w="15" w:type="dxa"/>
        <w:tblCellMar>
          <w:left w:w="0" w:type="dxa"/>
          <w:right w:w="0" w:type="dxa"/>
        </w:tblCellMar>
        <w:tblLook w:val="04A0" w:firstRow="1" w:lastRow="0" w:firstColumn="1" w:lastColumn="0" w:noHBand="0" w:noVBand="1"/>
      </w:tblPr>
      <w:tblGrid>
        <w:gridCol w:w="1095"/>
        <w:gridCol w:w="3076"/>
      </w:tblGrid>
      <w:tr w:rsidR="004C1334" w:rsidTr="004C1334">
        <w:trPr>
          <w:tblCellSpacing w:w="15" w:type="dxa"/>
        </w:trPr>
        <w:tc>
          <w:tcPr>
            <w:tcW w:w="0" w:type="auto"/>
            <w:tcMar>
              <w:top w:w="15" w:type="dxa"/>
              <w:left w:w="15" w:type="dxa"/>
              <w:bottom w:w="15" w:type="dxa"/>
              <w:right w:w="15" w:type="dxa"/>
            </w:tcMar>
            <w:hideMark/>
          </w:tcPr>
          <w:p w:rsidR="004C1334" w:rsidRDefault="004C1334">
            <w:pPr>
              <w:rPr>
                <w:rFonts w:ascii="Times New Roman" w:hAnsi="Times New Roman"/>
                <w:sz w:val="24"/>
                <w:szCs w:val="24"/>
              </w:rPr>
            </w:pPr>
            <w:r>
              <w:rPr>
                <w:rFonts w:ascii="Times New Roman" w:hAnsi="Times New Roman"/>
                <w:noProof/>
                <w:sz w:val="24"/>
                <w:szCs w:val="24"/>
              </w:rPr>
              <w:drawing>
                <wp:inline distT="0" distB="0" distL="0" distR="0" wp14:anchorId="1C62E1F2" wp14:editId="1882B4D8">
                  <wp:extent cx="645795" cy="711200"/>
                  <wp:effectExtent l="0" t="0" r="1905" b="0"/>
                  <wp:docPr id="4" name="Picture 4" descr="official-fs-shield_clr-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fs-shield_clr-Esi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45795" cy="711200"/>
                          </a:xfrm>
                          <a:prstGeom prst="rect">
                            <a:avLst/>
                          </a:prstGeom>
                          <a:noFill/>
                          <a:ln>
                            <a:noFill/>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3001"/>
            </w:tblGrid>
            <w:tr w:rsidR="004C1334">
              <w:trPr>
                <w:tblCellSpacing w:w="0" w:type="dxa"/>
              </w:trPr>
              <w:tc>
                <w:tcPr>
                  <w:tcW w:w="0" w:type="auto"/>
                  <w:tcMar>
                    <w:top w:w="45" w:type="dxa"/>
                    <w:left w:w="45" w:type="dxa"/>
                    <w:bottom w:w="45" w:type="dxa"/>
                    <w:right w:w="45" w:type="dxa"/>
                  </w:tcMar>
                  <w:vAlign w:val="center"/>
                  <w:hideMark/>
                </w:tcPr>
                <w:p w:rsidR="004C1334" w:rsidRDefault="004C1334">
                  <w:pPr>
                    <w:rPr>
                      <w:rFonts w:ascii="Arial" w:hAnsi="Arial" w:cs="Arial"/>
                      <w:b/>
                      <w:bCs/>
                      <w:color w:val="000000"/>
                      <w:sz w:val="18"/>
                      <w:szCs w:val="18"/>
                    </w:rPr>
                  </w:pPr>
                  <w:r>
                    <w:rPr>
                      <w:rFonts w:ascii="Arial" w:hAnsi="Arial" w:cs="Arial"/>
                      <w:b/>
                      <w:bCs/>
                      <w:color w:val="000000"/>
                      <w:sz w:val="18"/>
                      <w:szCs w:val="18"/>
                    </w:rPr>
                    <w:t xml:space="preserve">Cass Cairns </w:t>
                  </w:r>
                  <w:r>
                    <w:rPr>
                      <w:rFonts w:ascii="Arial" w:hAnsi="Arial" w:cs="Arial"/>
                      <w:b/>
                      <w:bCs/>
                      <w:color w:val="000000"/>
                      <w:sz w:val="18"/>
                      <w:szCs w:val="18"/>
                    </w:rPr>
                    <w:br/>
                    <w:t>Public &amp; Legislative Affairs</w:t>
                  </w:r>
                </w:p>
              </w:tc>
            </w:tr>
            <w:tr w:rsidR="004C1334">
              <w:trPr>
                <w:tblCellSpacing w:w="0" w:type="dxa"/>
              </w:trPr>
              <w:tc>
                <w:tcPr>
                  <w:tcW w:w="0" w:type="auto"/>
                  <w:tcMar>
                    <w:top w:w="45" w:type="dxa"/>
                    <w:left w:w="45" w:type="dxa"/>
                    <w:bottom w:w="45" w:type="dxa"/>
                    <w:right w:w="45" w:type="dxa"/>
                  </w:tcMar>
                  <w:vAlign w:val="center"/>
                  <w:hideMark/>
                </w:tcPr>
                <w:p w:rsidR="004C1334" w:rsidRDefault="004C1334">
                  <w:pPr>
                    <w:rPr>
                      <w:rFonts w:ascii="Arial" w:hAnsi="Arial" w:cs="Arial"/>
                      <w:b/>
                      <w:bCs/>
                      <w:color w:val="000000"/>
                      <w:sz w:val="18"/>
                      <w:szCs w:val="18"/>
                    </w:rPr>
                  </w:pPr>
                  <w:r>
                    <w:rPr>
                      <w:rFonts w:ascii="Arial" w:hAnsi="Arial" w:cs="Arial"/>
                      <w:b/>
                      <w:bCs/>
                      <w:color w:val="000000"/>
                      <w:sz w:val="18"/>
                      <w:szCs w:val="18"/>
                    </w:rPr>
                    <w:t xml:space="preserve">Forest Service </w:t>
                  </w:r>
                </w:p>
                <w:p w:rsidR="004C1334" w:rsidRDefault="004C1334">
                  <w:pPr>
                    <w:rPr>
                      <w:rFonts w:ascii="Arial" w:hAnsi="Arial" w:cs="Arial"/>
                      <w:b/>
                      <w:bCs/>
                      <w:color w:val="28742E"/>
                      <w:sz w:val="18"/>
                      <w:szCs w:val="18"/>
                    </w:rPr>
                  </w:pPr>
                  <w:r>
                    <w:rPr>
                      <w:rFonts w:ascii="Arial" w:hAnsi="Arial" w:cs="Arial"/>
                      <w:b/>
                      <w:bCs/>
                      <w:color w:val="28742E"/>
                      <w:sz w:val="18"/>
                      <w:szCs w:val="18"/>
                    </w:rPr>
                    <w:t>Rocky Mountain Research Station</w:t>
                  </w:r>
                </w:p>
              </w:tc>
            </w:tr>
            <w:tr w:rsidR="004C1334">
              <w:trPr>
                <w:tblCellSpacing w:w="0" w:type="dxa"/>
              </w:trPr>
              <w:tc>
                <w:tcPr>
                  <w:tcW w:w="0" w:type="auto"/>
                  <w:tcMar>
                    <w:top w:w="45" w:type="dxa"/>
                    <w:left w:w="45" w:type="dxa"/>
                    <w:bottom w:w="45" w:type="dxa"/>
                    <w:right w:w="45" w:type="dxa"/>
                  </w:tcMar>
                  <w:vAlign w:val="center"/>
                  <w:hideMark/>
                </w:tcPr>
                <w:p w:rsidR="004C1334" w:rsidRDefault="004C1334">
                  <w:pPr>
                    <w:rPr>
                      <w:rFonts w:ascii="Arial" w:hAnsi="Arial" w:cs="Arial"/>
                      <w:b/>
                      <w:bCs/>
                      <w:color w:val="000000"/>
                      <w:sz w:val="17"/>
                      <w:szCs w:val="17"/>
                    </w:rPr>
                  </w:pPr>
                  <w:r>
                    <w:rPr>
                      <w:rFonts w:ascii="Arial" w:hAnsi="Arial" w:cs="Arial"/>
                      <w:b/>
                      <w:bCs/>
                      <w:color w:val="000000"/>
                      <w:sz w:val="17"/>
                      <w:szCs w:val="17"/>
                    </w:rPr>
                    <w:t xml:space="preserve">p: 970-498-1370 </w:t>
                  </w:r>
                  <w:r>
                    <w:rPr>
                      <w:rFonts w:ascii="Arial" w:hAnsi="Arial" w:cs="Arial"/>
                      <w:b/>
                      <w:bCs/>
                      <w:color w:val="000000"/>
                      <w:sz w:val="17"/>
                      <w:szCs w:val="17"/>
                    </w:rPr>
                    <w:br/>
                    <w:t xml:space="preserve">c: 970-817-1336 </w:t>
                  </w:r>
                  <w:r>
                    <w:rPr>
                      <w:rFonts w:ascii="Arial" w:hAnsi="Arial" w:cs="Arial"/>
                      <w:b/>
                      <w:bCs/>
                      <w:color w:val="000000"/>
                      <w:sz w:val="17"/>
                      <w:szCs w:val="17"/>
                    </w:rPr>
                    <w:br/>
                  </w:r>
                  <w:hyperlink r:id="rId27" w:history="1">
                    <w:r>
                      <w:rPr>
                        <w:rStyle w:val="Hyperlink"/>
                        <w:rFonts w:ascii="Arial" w:hAnsi="Arial" w:cs="Arial"/>
                        <w:b/>
                        <w:bCs/>
                        <w:color w:val="0000FF"/>
                        <w:sz w:val="17"/>
                        <w:szCs w:val="17"/>
                      </w:rPr>
                      <w:t>cfcairns@fs.fed.us</w:t>
                    </w:r>
                  </w:hyperlink>
                </w:p>
              </w:tc>
            </w:tr>
            <w:tr w:rsidR="004C1334">
              <w:trPr>
                <w:tblCellSpacing w:w="0" w:type="dxa"/>
              </w:trPr>
              <w:tc>
                <w:tcPr>
                  <w:tcW w:w="0" w:type="auto"/>
                  <w:tcMar>
                    <w:top w:w="45" w:type="dxa"/>
                    <w:left w:w="45" w:type="dxa"/>
                    <w:bottom w:w="45" w:type="dxa"/>
                    <w:right w:w="45" w:type="dxa"/>
                  </w:tcMar>
                  <w:vAlign w:val="center"/>
                  <w:hideMark/>
                </w:tcPr>
                <w:p w:rsidR="004C1334" w:rsidRDefault="004C1334">
                  <w:pPr>
                    <w:rPr>
                      <w:rFonts w:ascii="Arial" w:hAnsi="Arial" w:cs="Arial"/>
                      <w:color w:val="000000"/>
                      <w:sz w:val="17"/>
                      <w:szCs w:val="17"/>
                    </w:rPr>
                  </w:pPr>
                  <w:r>
                    <w:rPr>
                      <w:rFonts w:ascii="Arial" w:hAnsi="Arial" w:cs="Arial"/>
                      <w:color w:val="000000"/>
                      <w:sz w:val="17"/>
                      <w:szCs w:val="17"/>
                    </w:rPr>
                    <w:t xml:space="preserve">240 W. Prospect Rd. </w:t>
                  </w:r>
                  <w:r>
                    <w:rPr>
                      <w:rFonts w:ascii="Arial" w:hAnsi="Arial" w:cs="Arial"/>
                      <w:color w:val="000000"/>
                      <w:sz w:val="17"/>
                      <w:szCs w:val="17"/>
                    </w:rPr>
                    <w:br/>
                    <w:t>Fort Collins, CO 80526</w:t>
                  </w:r>
                  <w:r>
                    <w:rPr>
                      <w:rFonts w:ascii="Arial" w:hAnsi="Arial" w:cs="Arial"/>
                      <w:color w:val="000000"/>
                      <w:sz w:val="17"/>
                      <w:szCs w:val="17"/>
                    </w:rPr>
                    <w:br/>
                  </w:r>
                  <w:hyperlink r:id="rId28" w:history="1">
                    <w:r>
                      <w:rPr>
                        <w:rStyle w:val="Hyperlink"/>
                        <w:rFonts w:ascii="Arial" w:hAnsi="Arial" w:cs="Arial"/>
                        <w:color w:val="0000FF"/>
                        <w:sz w:val="17"/>
                        <w:szCs w:val="17"/>
                      </w:rPr>
                      <w:t>www.fs.fed.us</w:t>
                    </w:r>
                  </w:hyperlink>
                  <w:r>
                    <w:rPr>
                      <w:rFonts w:ascii="Arial" w:hAnsi="Arial" w:cs="Arial"/>
                      <w:color w:val="000000"/>
                      <w:sz w:val="17"/>
                      <w:szCs w:val="17"/>
                    </w:rPr>
                    <w:t xml:space="preserve"> </w:t>
                  </w:r>
                  <w:r>
                    <w:rPr>
                      <w:rFonts w:ascii="Arial" w:hAnsi="Arial" w:cs="Arial"/>
                      <w:color w:val="000000"/>
                      <w:sz w:val="17"/>
                      <w:szCs w:val="17"/>
                    </w:rPr>
                    <w:br/>
                  </w:r>
                  <w:r>
                    <w:rPr>
                      <w:rFonts w:ascii="Arial" w:hAnsi="Arial" w:cs="Arial"/>
                      <w:noProof/>
                      <w:color w:val="000000"/>
                      <w:sz w:val="17"/>
                      <w:szCs w:val="17"/>
                    </w:rPr>
                    <w:drawing>
                      <wp:inline distT="0" distB="0" distL="0" distR="0" wp14:anchorId="69607139" wp14:editId="33E47EBC">
                        <wp:extent cx="203200" cy="130810"/>
                        <wp:effectExtent l="0" t="0" r="6350" b="2540"/>
                        <wp:docPr id="3" name="Picture 3" descr="official-USDA-logo-Esi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USDA-logo-Esi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03200" cy="130810"/>
                                </a:xfrm>
                                <a:prstGeom prst="rect">
                                  <a:avLst/>
                                </a:prstGeom>
                                <a:noFill/>
                                <a:ln>
                                  <a:noFill/>
                                </a:ln>
                              </pic:spPr>
                            </pic:pic>
                          </a:graphicData>
                        </a:graphic>
                      </wp:inline>
                    </w:drawing>
                  </w:r>
                  <w:r>
                    <w:rPr>
                      <w:rFonts w:ascii="Arial" w:hAnsi="Arial" w:cs="Arial"/>
                      <w:noProof/>
                      <w:color w:val="0000FF"/>
                      <w:sz w:val="17"/>
                      <w:szCs w:val="17"/>
                    </w:rPr>
                    <w:drawing>
                      <wp:inline distT="0" distB="0" distL="0" distR="0" wp14:anchorId="5FDEC2C5" wp14:editId="7FE2DC8D">
                        <wp:extent cx="181610" cy="152400"/>
                        <wp:effectExtent l="0" t="0" r="8890" b="0"/>
                        <wp:docPr id="2" name="Picture 2" descr="Forest Service Twitt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 Service Twitte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81610" cy="152400"/>
                                </a:xfrm>
                                <a:prstGeom prst="rect">
                                  <a:avLst/>
                                </a:prstGeom>
                                <a:noFill/>
                                <a:ln>
                                  <a:noFill/>
                                </a:ln>
                              </pic:spPr>
                            </pic:pic>
                          </a:graphicData>
                        </a:graphic>
                      </wp:inline>
                    </w:drawing>
                  </w:r>
                  <w:r>
                    <w:rPr>
                      <w:rFonts w:ascii="Arial" w:hAnsi="Arial" w:cs="Arial"/>
                      <w:noProof/>
                      <w:color w:val="0000FF"/>
                      <w:sz w:val="17"/>
                      <w:szCs w:val="17"/>
                    </w:rPr>
                    <w:drawing>
                      <wp:inline distT="0" distB="0" distL="0" distR="0" wp14:anchorId="3D33F706" wp14:editId="0D9866F1">
                        <wp:extent cx="152400" cy="152400"/>
                        <wp:effectExtent l="0" t="0" r="0" b="0"/>
                        <wp:docPr id="1" name="Picture 1" descr="USDA 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DA Facebook"/>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C1334" w:rsidRDefault="004C1334">
            <w:pPr>
              <w:rPr>
                <w:rFonts w:ascii="Times New Roman" w:eastAsia="Times New Roman" w:hAnsi="Times New Roman"/>
                <w:sz w:val="20"/>
                <w:szCs w:val="20"/>
              </w:rPr>
            </w:pPr>
          </w:p>
        </w:tc>
      </w:tr>
      <w:bookmarkEnd w:id="0"/>
    </w:tbl>
    <w:p w:rsidR="004C1334" w:rsidRDefault="004C1334" w:rsidP="004C1334"/>
    <w:p w:rsidR="00CD2D11" w:rsidRDefault="00CD2D11">
      <w:bookmarkStart w:id="1" w:name="_GoBack"/>
      <w:bookmarkEnd w:id="1"/>
    </w:p>
    <w:sectPr w:rsidR="00CD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7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Univers 47 Condensed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145D9"/>
    <w:multiLevelType w:val="multilevel"/>
    <w:tmpl w:val="D026D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34"/>
    <w:rsid w:val="004C1334"/>
    <w:rsid w:val="00CD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34"/>
    <w:pPr>
      <w:spacing w:after="0" w:line="240" w:lineRule="auto"/>
    </w:pPr>
    <w:rPr>
      <w:rFonts w:ascii="Calibri" w:hAnsi="Calibri" w:cs="Times New Roman"/>
    </w:rPr>
  </w:style>
  <w:style w:type="paragraph" w:styleId="Heading1">
    <w:name w:val="heading 1"/>
    <w:basedOn w:val="Normal"/>
    <w:link w:val="Heading1Char"/>
    <w:uiPriority w:val="9"/>
    <w:qFormat/>
    <w:rsid w:val="004C1334"/>
    <w:pPr>
      <w:keepNext/>
      <w:outlineLvl w:val="0"/>
    </w:pPr>
    <w:rPr>
      <w:rFonts w:ascii="Univers 57 Condensed" w:hAnsi="Univers 57 Condensed"/>
      <w:b/>
      <w:bCs/>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334"/>
    <w:rPr>
      <w:rFonts w:ascii="Univers 57 Condensed" w:hAnsi="Univers 57 Condensed" w:cs="Times New Roman"/>
      <w:b/>
      <w:bCs/>
      <w:kern w:val="36"/>
      <w:sz w:val="40"/>
      <w:szCs w:val="40"/>
    </w:rPr>
  </w:style>
  <w:style w:type="character" w:styleId="Hyperlink">
    <w:name w:val="Hyperlink"/>
    <w:basedOn w:val="DefaultParagraphFont"/>
    <w:uiPriority w:val="99"/>
    <w:semiHidden/>
    <w:unhideWhenUsed/>
    <w:rsid w:val="004C1334"/>
    <w:rPr>
      <w:color w:val="0563C1"/>
      <w:u w:val="single"/>
    </w:rPr>
  </w:style>
  <w:style w:type="paragraph" w:styleId="NormalWeb">
    <w:name w:val="Normal (Web)"/>
    <w:basedOn w:val="Normal"/>
    <w:uiPriority w:val="99"/>
    <w:unhideWhenUsed/>
    <w:rsid w:val="004C133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4C1334"/>
    <w:rPr>
      <w:rFonts w:ascii="Times New Roman" w:hAnsi="Times New Roman"/>
      <w:sz w:val="24"/>
      <w:szCs w:val="24"/>
    </w:rPr>
  </w:style>
  <w:style w:type="character" w:customStyle="1" w:styleId="HeaderChar">
    <w:name w:val="Header Char"/>
    <w:basedOn w:val="DefaultParagraphFont"/>
    <w:link w:val="Header"/>
    <w:uiPriority w:val="99"/>
    <w:rsid w:val="004C1334"/>
    <w:rPr>
      <w:rFonts w:ascii="Times New Roman" w:hAnsi="Times New Roman" w:cs="Times New Roman"/>
      <w:sz w:val="24"/>
      <w:szCs w:val="24"/>
    </w:rPr>
  </w:style>
  <w:style w:type="character" w:styleId="Emphasis">
    <w:name w:val="Emphasis"/>
    <w:basedOn w:val="DefaultParagraphFont"/>
    <w:uiPriority w:val="20"/>
    <w:qFormat/>
    <w:rsid w:val="004C1334"/>
    <w:rPr>
      <w:i/>
      <w:iCs/>
    </w:rPr>
  </w:style>
  <w:style w:type="paragraph" w:styleId="BalloonText">
    <w:name w:val="Balloon Text"/>
    <w:basedOn w:val="Normal"/>
    <w:link w:val="BalloonTextChar"/>
    <w:uiPriority w:val="99"/>
    <w:semiHidden/>
    <w:unhideWhenUsed/>
    <w:rsid w:val="004C1334"/>
    <w:rPr>
      <w:rFonts w:ascii="Tahoma" w:hAnsi="Tahoma" w:cs="Tahoma"/>
      <w:sz w:val="16"/>
      <w:szCs w:val="16"/>
    </w:rPr>
  </w:style>
  <w:style w:type="character" w:customStyle="1" w:styleId="BalloonTextChar">
    <w:name w:val="Balloon Text Char"/>
    <w:basedOn w:val="DefaultParagraphFont"/>
    <w:link w:val="BalloonText"/>
    <w:uiPriority w:val="99"/>
    <w:semiHidden/>
    <w:rsid w:val="004C1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34"/>
    <w:pPr>
      <w:spacing w:after="0" w:line="240" w:lineRule="auto"/>
    </w:pPr>
    <w:rPr>
      <w:rFonts w:ascii="Calibri" w:hAnsi="Calibri" w:cs="Times New Roman"/>
    </w:rPr>
  </w:style>
  <w:style w:type="paragraph" w:styleId="Heading1">
    <w:name w:val="heading 1"/>
    <w:basedOn w:val="Normal"/>
    <w:link w:val="Heading1Char"/>
    <w:uiPriority w:val="9"/>
    <w:qFormat/>
    <w:rsid w:val="004C1334"/>
    <w:pPr>
      <w:keepNext/>
      <w:outlineLvl w:val="0"/>
    </w:pPr>
    <w:rPr>
      <w:rFonts w:ascii="Univers 57 Condensed" w:hAnsi="Univers 57 Condensed"/>
      <w:b/>
      <w:bCs/>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334"/>
    <w:rPr>
      <w:rFonts w:ascii="Univers 57 Condensed" w:hAnsi="Univers 57 Condensed" w:cs="Times New Roman"/>
      <w:b/>
      <w:bCs/>
      <w:kern w:val="36"/>
      <w:sz w:val="40"/>
      <w:szCs w:val="40"/>
    </w:rPr>
  </w:style>
  <w:style w:type="character" w:styleId="Hyperlink">
    <w:name w:val="Hyperlink"/>
    <w:basedOn w:val="DefaultParagraphFont"/>
    <w:uiPriority w:val="99"/>
    <w:semiHidden/>
    <w:unhideWhenUsed/>
    <w:rsid w:val="004C1334"/>
    <w:rPr>
      <w:color w:val="0563C1"/>
      <w:u w:val="single"/>
    </w:rPr>
  </w:style>
  <w:style w:type="paragraph" w:styleId="NormalWeb">
    <w:name w:val="Normal (Web)"/>
    <w:basedOn w:val="Normal"/>
    <w:uiPriority w:val="99"/>
    <w:unhideWhenUsed/>
    <w:rsid w:val="004C133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4C1334"/>
    <w:rPr>
      <w:rFonts w:ascii="Times New Roman" w:hAnsi="Times New Roman"/>
      <w:sz w:val="24"/>
      <w:szCs w:val="24"/>
    </w:rPr>
  </w:style>
  <w:style w:type="character" w:customStyle="1" w:styleId="HeaderChar">
    <w:name w:val="Header Char"/>
    <w:basedOn w:val="DefaultParagraphFont"/>
    <w:link w:val="Header"/>
    <w:uiPriority w:val="99"/>
    <w:rsid w:val="004C1334"/>
    <w:rPr>
      <w:rFonts w:ascii="Times New Roman" w:hAnsi="Times New Roman" w:cs="Times New Roman"/>
      <w:sz w:val="24"/>
      <w:szCs w:val="24"/>
    </w:rPr>
  </w:style>
  <w:style w:type="character" w:styleId="Emphasis">
    <w:name w:val="Emphasis"/>
    <w:basedOn w:val="DefaultParagraphFont"/>
    <w:uiPriority w:val="20"/>
    <w:qFormat/>
    <w:rsid w:val="004C1334"/>
    <w:rPr>
      <w:i/>
      <w:iCs/>
    </w:rPr>
  </w:style>
  <w:style w:type="paragraph" w:styleId="BalloonText">
    <w:name w:val="Balloon Text"/>
    <w:basedOn w:val="Normal"/>
    <w:link w:val="BalloonTextChar"/>
    <w:uiPriority w:val="99"/>
    <w:semiHidden/>
    <w:unhideWhenUsed/>
    <w:rsid w:val="004C1334"/>
    <w:rPr>
      <w:rFonts w:ascii="Tahoma" w:hAnsi="Tahoma" w:cs="Tahoma"/>
      <w:sz w:val="16"/>
      <w:szCs w:val="16"/>
    </w:rPr>
  </w:style>
  <w:style w:type="character" w:customStyle="1" w:styleId="BalloonTextChar">
    <w:name w:val="Balloon Text Char"/>
    <w:basedOn w:val="DefaultParagraphFont"/>
    <w:link w:val="BalloonText"/>
    <w:uiPriority w:val="99"/>
    <w:semiHidden/>
    <w:rsid w:val="004C1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www.usgs.gov/newsroom/list_server.asp" TargetMode="External"/><Relationship Id="rId26" Type="http://schemas.openxmlformats.org/officeDocument/2006/relationships/image" Target="cid:image012.gif@01D15838.C092BCF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s.fed.us/rmrs" TargetMode="External"/><Relationship Id="rId34" Type="http://schemas.openxmlformats.org/officeDocument/2006/relationships/image" Target="cid:image014.png@01D15838.C092BCF0" TargetMode="External"/><Relationship Id="rId7" Type="http://schemas.openxmlformats.org/officeDocument/2006/relationships/image" Target="cid:image017.png@01D15838.C092BCF0" TargetMode="External"/><Relationship Id="rId12" Type="http://schemas.openxmlformats.org/officeDocument/2006/relationships/image" Target="media/image3.png"/><Relationship Id="rId17" Type="http://schemas.openxmlformats.org/officeDocument/2006/relationships/hyperlink" Target="http://usgs.gov/socialmedia" TargetMode="External"/><Relationship Id="rId25" Type="http://schemas.openxmlformats.org/officeDocument/2006/relationships/image" Target="media/image6.gif"/><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witter.com/USGS" TargetMode="External"/><Relationship Id="rId20" Type="http://schemas.openxmlformats.org/officeDocument/2006/relationships/hyperlink" Target="http://twitter.com/USGSNews" TargetMode="External"/><Relationship Id="rId29" Type="http://schemas.openxmlformats.org/officeDocument/2006/relationships/hyperlink" Target="http://usda.gov/"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fcairns@fs.fed.us" TargetMode="External"/><Relationship Id="rId24" Type="http://schemas.openxmlformats.org/officeDocument/2006/relationships/image" Target="cid:image021.png@01D15838.C092BCF0" TargetMode="External"/><Relationship Id="rId32" Type="http://schemas.openxmlformats.org/officeDocument/2006/relationships/hyperlink" Target="https://twitter.com/forestservice" TargetMode="External"/><Relationship Id="rId37" Type="http://schemas.openxmlformats.org/officeDocument/2006/relationships/image" Target="cid:image015.png@01D15838.C092BCF0" TargetMode="External"/><Relationship Id="rId5" Type="http://schemas.openxmlformats.org/officeDocument/2006/relationships/webSettings" Target="webSettings.xml"/><Relationship Id="rId15" Type="http://schemas.openxmlformats.org/officeDocument/2006/relationships/hyperlink" Target="http://usgs.gov/" TargetMode="External"/><Relationship Id="rId23" Type="http://schemas.openxmlformats.org/officeDocument/2006/relationships/image" Target="media/image5.png"/><Relationship Id="rId28" Type="http://schemas.openxmlformats.org/officeDocument/2006/relationships/hyperlink" Target="http://www.fs.fed.us/" TargetMode="External"/><Relationship Id="rId36" Type="http://schemas.openxmlformats.org/officeDocument/2006/relationships/image" Target="media/image9.png"/><Relationship Id="rId10" Type="http://schemas.openxmlformats.org/officeDocument/2006/relationships/hyperlink" Target="mailto:skemp@usgs.gov" TargetMode="External"/><Relationship Id="rId19" Type="http://schemas.openxmlformats.org/officeDocument/2006/relationships/hyperlink" Target="http://feeds.feedburner.com/UsgsNewsroom" TargetMode="External"/><Relationship Id="rId31" Type="http://schemas.openxmlformats.org/officeDocument/2006/relationships/image" Target="cid:image013.gif@01D15838.C092BCF0" TargetMode="External"/><Relationship Id="rId4" Type="http://schemas.openxmlformats.org/officeDocument/2006/relationships/settings" Target="settings.xml"/><Relationship Id="rId9" Type="http://schemas.openxmlformats.org/officeDocument/2006/relationships/image" Target="cid:image018.png@01D15838.C092BCF0" TargetMode="External"/><Relationship Id="rId14" Type="http://schemas.openxmlformats.org/officeDocument/2006/relationships/image" Target="cid:image020.jpg@01D15838.C092BCF0" TargetMode="External"/><Relationship Id="rId22" Type="http://schemas.openxmlformats.org/officeDocument/2006/relationships/hyperlink" Target="http://www.twitter.com/usfs_rmrs" TargetMode="External"/><Relationship Id="rId27" Type="http://schemas.openxmlformats.org/officeDocument/2006/relationships/hyperlink" Target="mailto:cfcairns@fs.fed.us" TargetMode="External"/><Relationship Id="rId30" Type="http://schemas.openxmlformats.org/officeDocument/2006/relationships/image" Target="media/image7.gif"/><Relationship Id="rId35" Type="http://schemas.openxmlformats.org/officeDocument/2006/relationships/hyperlink" Target="http://facebook.com/US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1</cp:revision>
  <dcterms:created xsi:type="dcterms:W3CDTF">2016-01-28T16:42:00Z</dcterms:created>
  <dcterms:modified xsi:type="dcterms:W3CDTF">2016-01-28T16:43:00Z</dcterms:modified>
</cp:coreProperties>
</file>