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C4" w:rsidRDefault="00FA33C4" w:rsidP="00FA33C4">
      <w:pPr>
        <w:rPr>
          <w:rFonts w:ascii="Calibri" w:hAnsi="Calibri" w:cs="Calibri"/>
          <w:sz w:val="22"/>
        </w:rPr>
      </w:pPr>
      <w:r>
        <w:rPr>
          <w:rFonts w:ascii="Calibri" w:hAnsi="Calibri" w:cs="Calibri"/>
          <w:sz w:val="22"/>
        </w:rPr>
        <w:t xml:space="preserve">EPA would like to identify members of the scientific community who could provide information and/or literature references about at-risk plant species or plant communities that can support sensitive and/or at-risk insect species </w:t>
      </w:r>
      <w:r>
        <w:rPr>
          <w:rFonts w:ascii="Calibri" w:hAnsi="Calibri" w:cs="Calibri"/>
          <w:sz w:val="22"/>
        </w:rPr>
        <w:t xml:space="preserve">in the </w:t>
      </w:r>
      <w:r>
        <w:rPr>
          <w:rFonts w:ascii="Calibri" w:hAnsi="Calibri" w:cs="Calibri"/>
          <w:sz w:val="22"/>
        </w:rPr>
        <w:t xml:space="preserve">vicinity of the juncture of </w:t>
      </w:r>
      <w:r>
        <w:rPr>
          <w:rFonts w:ascii="Calibri" w:hAnsi="Calibri" w:cs="Calibri"/>
          <w:sz w:val="22"/>
        </w:rPr>
        <w:t xml:space="preserve">Oklahoma, Kansas, </w:t>
      </w:r>
      <w:r>
        <w:rPr>
          <w:rFonts w:ascii="Calibri" w:hAnsi="Calibri" w:cs="Calibri"/>
          <w:sz w:val="22"/>
        </w:rPr>
        <w:t xml:space="preserve">and </w:t>
      </w:r>
      <w:r>
        <w:rPr>
          <w:rFonts w:ascii="Calibri" w:hAnsi="Calibri" w:cs="Calibri"/>
          <w:sz w:val="22"/>
        </w:rPr>
        <w:t>Missouri</w:t>
      </w:r>
      <w:r>
        <w:rPr>
          <w:rFonts w:ascii="Calibri" w:hAnsi="Calibri" w:cs="Calibri"/>
          <w:sz w:val="22"/>
        </w:rPr>
        <w:t xml:space="preserve">. The information will be used to support plant selection for revegetation of a Superfund site located in that area of the Midwest. </w:t>
      </w:r>
    </w:p>
    <w:p w:rsidR="00FA33C4" w:rsidRDefault="00FA33C4" w:rsidP="00FA33C4">
      <w:pPr>
        <w:rPr>
          <w:rFonts w:ascii="Calibri" w:hAnsi="Calibri" w:cs="Calibri"/>
          <w:sz w:val="22"/>
        </w:rPr>
      </w:pPr>
    </w:p>
    <w:p w:rsidR="00FA33C4" w:rsidRDefault="00FA33C4" w:rsidP="00FA33C4">
      <w:pPr>
        <w:rPr>
          <w:rFonts w:ascii="Calibri" w:hAnsi="Calibri" w:cs="Calibri"/>
          <w:sz w:val="22"/>
        </w:rPr>
      </w:pPr>
      <w:r>
        <w:rPr>
          <w:rFonts w:ascii="Calibri" w:hAnsi="Calibri" w:cs="Calibri"/>
          <w:sz w:val="22"/>
        </w:rPr>
        <w:t xml:space="preserve">EPA would like to identify plant species or plant </w:t>
      </w:r>
      <w:r w:rsidRPr="00FA33C4">
        <w:rPr>
          <w:rFonts w:ascii="Calibri" w:hAnsi="Calibri" w:cs="Calibri"/>
          <w:sz w:val="22"/>
        </w:rPr>
        <w:t xml:space="preserve">community assemblages </w:t>
      </w:r>
      <w:r>
        <w:rPr>
          <w:rFonts w:ascii="Calibri" w:hAnsi="Calibri" w:cs="Calibri"/>
          <w:sz w:val="22"/>
        </w:rPr>
        <w:t>native to that</w:t>
      </w:r>
      <w:r w:rsidRPr="00FA33C4">
        <w:rPr>
          <w:rFonts w:ascii="Calibri" w:hAnsi="Calibri" w:cs="Calibri"/>
          <w:sz w:val="22"/>
        </w:rPr>
        <w:t xml:space="preserve"> area </w:t>
      </w:r>
      <w:r>
        <w:rPr>
          <w:rFonts w:ascii="Calibri" w:hAnsi="Calibri" w:cs="Calibri"/>
          <w:sz w:val="22"/>
        </w:rPr>
        <w:t xml:space="preserve">that can </w:t>
      </w:r>
    </w:p>
    <w:p w:rsidR="00FA33C4" w:rsidRDefault="00FA33C4" w:rsidP="00FA33C4">
      <w:pPr>
        <w:numPr>
          <w:ilvl w:val="0"/>
          <w:numId w:val="1"/>
        </w:numPr>
        <w:rPr>
          <w:rFonts w:ascii="Calibri" w:hAnsi="Calibri" w:cs="Calibri"/>
          <w:sz w:val="22"/>
        </w:rPr>
      </w:pPr>
      <w:r>
        <w:rPr>
          <w:rFonts w:ascii="Calibri" w:hAnsi="Calibri" w:cs="Calibri"/>
          <w:sz w:val="22"/>
        </w:rPr>
        <w:t xml:space="preserve">Tolerate relatively high metal (especially zinc and lead) concentrations in soil; </w:t>
      </w:r>
    </w:p>
    <w:p w:rsidR="00FA33C4" w:rsidRDefault="00FA33C4" w:rsidP="00FA33C4">
      <w:pPr>
        <w:numPr>
          <w:ilvl w:val="0"/>
          <w:numId w:val="1"/>
        </w:numPr>
        <w:rPr>
          <w:rFonts w:ascii="Calibri" w:hAnsi="Calibri" w:cs="Calibri"/>
          <w:sz w:val="22"/>
        </w:rPr>
      </w:pPr>
      <w:r>
        <w:rPr>
          <w:rFonts w:ascii="Calibri" w:hAnsi="Calibri" w:cs="Calibri"/>
          <w:sz w:val="22"/>
        </w:rPr>
        <w:t xml:space="preserve">Help restore healthy soil and plant communities by fixing nitrogen, providing soil organic carbon, and/or supporting beneficial microbial communities; and </w:t>
      </w:r>
    </w:p>
    <w:p w:rsidR="00FA33C4" w:rsidRPr="00FA33C4" w:rsidRDefault="00FA33C4" w:rsidP="00FA33C4">
      <w:pPr>
        <w:numPr>
          <w:ilvl w:val="0"/>
          <w:numId w:val="1"/>
        </w:numPr>
        <w:rPr>
          <w:rFonts w:ascii="Calibri" w:hAnsi="Calibri" w:cs="Calibri"/>
          <w:sz w:val="22"/>
        </w:rPr>
      </w:pPr>
      <w:r>
        <w:rPr>
          <w:rFonts w:ascii="Calibri" w:hAnsi="Calibri" w:cs="Calibri"/>
          <w:sz w:val="22"/>
        </w:rPr>
        <w:t>S</w:t>
      </w:r>
      <w:r w:rsidRPr="00FA33C4">
        <w:rPr>
          <w:rFonts w:ascii="Calibri" w:hAnsi="Calibri" w:cs="Calibri"/>
          <w:sz w:val="22"/>
        </w:rPr>
        <w:t xml:space="preserve">erve as host plants, food plants, or create habitat </w:t>
      </w:r>
      <w:r>
        <w:rPr>
          <w:rFonts w:ascii="Calibri" w:hAnsi="Calibri" w:cs="Calibri"/>
          <w:sz w:val="22"/>
        </w:rPr>
        <w:t>that</w:t>
      </w:r>
      <w:r w:rsidRPr="00FA33C4">
        <w:rPr>
          <w:rFonts w:ascii="Calibri" w:hAnsi="Calibri" w:cs="Calibri"/>
          <w:sz w:val="22"/>
        </w:rPr>
        <w:t xml:space="preserve"> benefit</w:t>
      </w:r>
      <w:r>
        <w:rPr>
          <w:rFonts w:ascii="Calibri" w:hAnsi="Calibri" w:cs="Calibri"/>
          <w:sz w:val="22"/>
        </w:rPr>
        <w:t>s</w:t>
      </w:r>
      <w:r w:rsidRPr="00FA33C4">
        <w:rPr>
          <w:rFonts w:ascii="Calibri" w:hAnsi="Calibri" w:cs="Calibri"/>
          <w:sz w:val="22"/>
        </w:rPr>
        <w:t xml:space="preserve"> insect species that include </w:t>
      </w:r>
    </w:p>
    <w:p w:rsidR="00FA33C4" w:rsidRDefault="00FA33C4" w:rsidP="00FA33C4">
      <w:pPr>
        <w:numPr>
          <w:ilvl w:val="1"/>
          <w:numId w:val="1"/>
        </w:numPr>
        <w:rPr>
          <w:rFonts w:ascii="Calibri" w:hAnsi="Calibri" w:cs="Calibri"/>
          <w:sz w:val="22"/>
        </w:rPr>
      </w:pPr>
      <w:r>
        <w:rPr>
          <w:rFonts w:ascii="Calibri" w:hAnsi="Calibri" w:cs="Calibri"/>
          <w:sz w:val="22"/>
        </w:rPr>
        <w:t>Pollinators (bees, wasps, beetles, butterflies, moths, flower flies</w:t>
      </w:r>
      <w:bookmarkStart w:id="0" w:name="_GoBack"/>
      <w:bookmarkEnd w:id="0"/>
      <w:r>
        <w:rPr>
          <w:rFonts w:ascii="Calibri" w:hAnsi="Calibri" w:cs="Calibri"/>
          <w:sz w:val="22"/>
        </w:rPr>
        <w:t>, etc.);</w:t>
      </w:r>
    </w:p>
    <w:p w:rsidR="00FA33C4" w:rsidRDefault="00FA33C4" w:rsidP="00FA33C4">
      <w:pPr>
        <w:numPr>
          <w:ilvl w:val="1"/>
          <w:numId w:val="1"/>
        </w:numPr>
        <w:rPr>
          <w:rFonts w:ascii="Calibri" w:hAnsi="Calibri" w:cs="Calibri"/>
          <w:sz w:val="22"/>
        </w:rPr>
      </w:pPr>
      <w:r>
        <w:rPr>
          <w:rFonts w:ascii="Calibri" w:hAnsi="Calibri" w:cs="Calibri"/>
          <w:sz w:val="22"/>
        </w:rPr>
        <w:t>Insect predators of pest species (</w:t>
      </w:r>
      <w:r>
        <w:rPr>
          <w:rFonts w:ascii="Calibri" w:hAnsi="Calibri" w:cs="Calibri"/>
          <w:sz w:val="22"/>
        </w:rPr>
        <w:t xml:space="preserve">predatory </w:t>
      </w:r>
      <w:r>
        <w:rPr>
          <w:rFonts w:ascii="Calibri" w:hAnsi="Calibri" w:cs="Calibri"/>
          <w:sz w:val="22"/>
        </w:rPr>
        <w:t xml:space="preserve">beetles and </w:t>
      </w:r>
      <w:r>
        <w:rPr>
          <w:rFonts w:ascii="Calibri" w:hAnsi="Calibri" w:cs="Calibri"/>
          <w:sz w:val="22"/>
        </w:rPr>
        <w:t>stink bugs</w:t>
      </w:r>
      <w:r>
        <w:rPr>
          <w:rFonts w:ascii="Calibri" w:hAnsi="Calibri" w:cs="Calibri"/>
          <w:sz w:val="22"/>
        </w:rPr>
        <w:t>,</w:t>
      </w:r>
      <w:r>
        <w:rPr>
          <w:rFonts w:ascii="Calibri" w:hAnsi="Calibri" w:cs="Calibri"/>
          <w:sz w:val="22"/>
        </w:rPr>
        <w:t xml:space="preserve"> </w:t>
      </w:r>
      <w:r>
        <w:rPr>
          <w:rFonts w:ascii="Calibri" w:hAnsi="Calibri" w:cs="Calibri"/>
          <w:sz w:val="22"/>
        </w:rPr>
        <w:t>mantises, dragonflies,</w:t>
      </w:r>
      <w:r>
        <w:rPr>
          <w:rFonts w:ascii="Calibri" w:hAnsi="Calibri" w:cs="Calibri"/>
          <w:sz w:val="22"/>
        </w:rPr>
        <w:t xml:space="preserve"> </w:t>
      </w:r>
      <w:r w:rsidR="00BB6C67">
        <w:rPr>
          <w:rFonts w:ascii="Calibri" w:hAnsi="Calibri" w:cs="Calibri"/>
          <w:sz w:val="22"/>
        </w:rPr>
        <w:t>p</w:t>
      </w:r>
      <w:r>
        <w:rPr>
          <w:rFonts w:ascii="Calibri" w:hAnsi="Calibri" w:cs="Calibri"/>
          <w:sz w:val="22"/>
        </w:rPr>
        <w:t>arasitoid</w:t>
      </w:r>
      <w:r>
        <w:rPr>
          <w:rFonts w:ascii="Calibri" w:hAnsi="Calibri" w:cs="Calibri"/>
          <w:sz w:val="22"/>
        </w:rPr>
        <w:t xml:space="preserve"> wasps, </w:t>
      </w:r>
      <w:r>
        <w:rPr>
          <w:rFonts w:ascii="Calibri" w:hAnsi="Calibri" w:cs="Calibri"/>
          <w:sz w:val="22"/>
        </w:rPr>
        <w:t>etc.</w:t>
      </w:r>
      <w:r>
        <w:rPr>
          <w:rFonts w:ascii="Calibri" w:hAnsi="Calibri" w:cs="Calibri"/>
          <w:sz w:val="22"/>
        </w:rPr>
        <w:t>)</w:t>
      </w:r>
      <w:r>
        <w:rPr>
          <w:rFonts w:ascii="Calibri" w:hAnsi="Calibri" w:cs="Calibri"/>
          <w:sz w:val="22"/>
        </w:rPr>
        <w:t>;</w:t>
      </w:r>
    </w:p>
    <w:p w:rsidR="0084756F" w:rsidRPr="00FA33C4" w:rsidRDefault="00BB6C67" w:rsidP="00FA33C4">
      <w:pPr>
        <w:numPr>
          <w:ilvl w:val="1"/>
          <w:numId w:val="1"/>
        </w:numPr>
        <w:rPr>
          <w:rFonts w:ascii="Calibri" w:hAnsi="Calibri" w:cs="Calibri"/>
          <w:sz w:val="22"/>
        </w:rPr>
      </w:pPr>
      <w:r>
        <w:rPr>
          <w:rFonts w:ascii="Calibri" w:hAnsi="Calibri" w:cs="Calibri"/>
          <w:sz w:val="22"/>
        </w:rPr>
        <w:t>T</w:t>
      </w:r>
      <w:r w:rsidR="00FA33C4">
        <w:rPr>
          <w:rFonts w:ascii="Calibri" w:hAnsi="Calibri" w:cs="Calibri"/>
          <w:sz w:val="22"/>
        </w:rPr>
        <w:t xml:space="preserve">he insect prey of sensitive or at-risk non-insect consumers (bats, birds, amphibians, reptiles, etc.), and </w:t>
      </w:r>
      <w:r w:rsidR="00FA33C4" w:rsidRPr="00FA33C4">
        <w:rPr>
          <w:rFonts w:ascii="Calibri" w:hAnsi="Calibri" w:cs="Calibri"/>
          <w:sz w:val="22"/>
        </w:rPr>
        <w:t xml:space="preserve"> </w:t>
      </w:r>
    </w:p>
    <w:p w:rsidR="00FA33C4" w:rsidRDefault="00FA33C4" w:rsidP="00FA33C4">
      <w:pPr>
        <w:numPr>
          <w:ilvl w:val="1"/>
          <w:numId w:val="1"/>
        </w:numPr>
        <w:rPr>
          <w:rFonts w:ascii="Calibri" w:hAnsi="Calibri" w:cs="Calibri"/>
          <w:sz w:val="22"/>
        </w:rPr>
      </w:pPr>
      <w:r>
        <w:rPr>
          <w:rFonts w:ascii="Calibri" w:hAnsi="Calibri" w:cs="Calibri"/>
          <w:sz w:val="22"/>
        </w:rPr>
        <w:t>At-risk insect species not yet on federal or state lists for species-of-concern (such as the migratory monarch butterfly, various bumble</w:t>
      </w:r>
      <w:r w:rsidR="00BB6C67">
        <w:rPr>
          <w:rFonts w:ascii="Calibri" w:hAnsi="Calibri" w:cs="Calibri"/>
          <w:sz w:val="22"/>
        </w:rPr>
        <w:t xml:space="preserve"> </w:t>
      </w:r>
      <w:r>
        <w:rPr>
          <w:rFonts w:ascii="Calibri" w:hAnsi="Calibri" w:cs="Calibri"/>
          <w:sz w:val="22"/>
        </w:rPr>
        <w:t>bee species, etc.).</w:t>
      </w:r>
    </w:p>
    <w:p w:rsidR="00FA33C4" w:rsidRDefault="00FA33C4" w:rsidP="00FA33C4">
      <w:pPr>
        <w:autoSpaceDE w:val="0"/>
        <w:autoSpaceDN w:val="0"/>
        <w:adjustRightInd w:val="0"/>
        <w:rPr>
          <w:rFonts w:ascii="Shruti-Bold" w:hAnsi="Shruti-Bold" w:cs="Shruti-Bold"/>
          <w:b/>
          <w:bCs/>
          <w:color w:val="000000"/>
          <w:sz w:val="36"/>
          <w:szCs w:val="36"/>
        </w:rPr>
      </w:pPr>
    </w:p>
    <w:p w:rsidR="00FA33C4" w:rsidRDefault="00FA33C4" w:rsidP="00FA33C4">
      <w:pPr>
        <w:autoSpaceDE w:val="0"/>
        <w:autoSpaceDN w:val="0"/>
        <w:adjustRightInd w:val="0"/>
        <w:rPr>
          <w:rFonts w:ascii="Calibri" w:hAnsi="Calibri" w:cs="Calibri"/>
          <w:color w:val="000000"/>
          <w:sz w:val="22"/>
        </w:rPr>
      </w:pPr>
      <w:r>
        <w:rPr>
          <w:rFonts w:ascii="Calibri" w:hAnsi="Calibri" w:cs="Calibri"/>
          <w:color w:val="000000"/>
          <w:sz w:val="22"/>
        </w:rPr>
        <w:t>EPA is planning revegetation efforts for t</w:t>
      </w:r>
      <w:r>
        <w:rPr>
          <w:rFonts w:ascii="Calibri" w:hAnsi="Calibri" w:cs="Calibri"/>
          <w:color w:val="000000"/>
          <w:sz w:val="22"/>
        </w:rPr>
        <w:t>he Tar Creek Super</w:t>
      </w:r>
      <w:r>
        <w:rPr>
          <w:rFonts w:ascii="Calibri" w:hAnsi="Calibri" w:cs="Calibri"/>
          <w:color w:val="000000"/>
          <w:sz w:val="22"/>
        </w:rPr>
        <w:t>fund Site</w:t>
      </w:r>
      <w:r>
        <w:rPr>
          <w:rFonts w:ascii="Calibri" w:hAnsi="Calibri" w:cs="Calibri"/>
          <w:color w:val="000000"/>
          <w:sz w:val="22"/>
        </w:rPr>
        <w:t xml:space="preserve"> loca</w:t>
      </w:r>
      <w:r>
        <w:rPr>
          <w:rFonts w:ascii="Calibri" w:hAnsi="Calibri" w:cs="Calibri"/>
          <w:color w:val="000000"/>
          <w:sz w:val="22"/>
        </w:rPr>
        <w:t>ted in Ottawa County, Oklahoma</w:t>
      </w:r>
      <w:r>
        <w:rPr>
          <w:rFonts w:ascii="Calibri" w:hAnsi="Calibri" w:cs="Calibri"/>
          <w:color w:val="000000"/>
          <w:sz w:val="22"/>
        </w:rPr>
        <w:t>. The site is a former lead and zinc mining area and consists of the Oklahoma portion of the Tri‐State Mining District of Oklahoma, Kansas, and Missouri. The site is approximately 40 square miles in size and includes those areas of Ottawa County where lead and zinc mining activities occurred or where a hazardous substance from mining or milling was stored or disposed.</w:t>
      </w:r>
    </w:p>
    <w:p w:rsidR="00FA33C4" w:rsidRDefault="00FA33C4" w:rsidP="00FA33C4">
      <w:pPr>
        <w:autoSpaceDE w:val="0"/>
        <w:autoSpaceDN w:val="0"/>
        <w:adjustRightInd w:val="0"/>
        <w:rPr>
          <w:rFonts w:ascii="Calibri" w:hAnsi="Calibri" w:cs="Calibri"/>
          <w:color w:val="000000"/>
          <w:sz w:val="22"/>
        </w:rPr>
      </w:pPr>
    </w:p>
    <w:p w:rsidR="00FA33C4" w:rsidRDefault="00FA33C4" w:rsidP="00FA33C4">
      <w:pPr>
        <w:autoSpaceDE w:val="0"/>
        <w:autoSpaceDN w:val="0"/>
        <w:adjustRightInd w:val="0"/>
        <w:rPr>
          <w:rFonts w:ascii="Calibri" w:hAnsi="Calibri" w:cs="Calibri"/>
          <w:color w:val="000000"/>
          <w:sz w:val="22"/>
        </w:rPr>
      </w:pPr>
      <w:r>
        <w:rPr>
          <w:noProof/>
        </w:rPr>
        <w:drawing>
          <wp:inline distT="0" distB="0" distL="0" distR="0" wp14:anchorId="262D44DD" wp14:editId="156C9595">
            <wp:extent cx="2431911" cy="2017809"/>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1784" cy="2026001"/>
                    </a:xfrm>
                    <a:prstGeom prst="rect">
                      <a:avLst/>
                    </a:prstGeom>
                  </pic:spPr>
                </pic:pic>
              </a:graphicData>
            </a:graphic>
          </wp:inline>
        </w:drawing>
      </w:r>
    </w:p>
    <w:p w:rsidR="00FA33C4" w:rsidRDefault="00FA33C4" w:rsidP="00FA33C4">
      <w:pPr>
        <w:autoSpaceDE w:val="0"/>
        <w:autoSpaceDN w:val="0"/>
        <w:adjustRightInd w:val="0"/>
        <w:rPr>
          <w:rFonts w:ascii="Calibri" w:hAnsi="Calibri" w:cs="Calibri"/>
          <w:color w:val="000000"/>
          <w:sz w:val="22"/>
        </w:rPr>
      </w:pPr>
    </w:p>
    <w:p w:rsidR="00FA33C4" w:rsidRDefault="00FA33C4" w:rsidP="00FA33C4">
      <w:pPr>
        <w:autoSpaceDE w:val="0"/>
        <w:autoSpaceDN w:val="0"/>
        <w:adjustRightInd w:val="0"/>
        <w:rPr>
          <w:rFonts w:ascii="Calibri" w:hAnsi="Calibri" w:cs="Calibri"/>
          <w:color w:val="000000"/>
          <w:sz w:val="22"/>
        </w:rPr>
      </w:pPr>
      <w:r>
        <w:rPr>
          <w:rFonts w:ascii="Calibri" w:hAnsi="Calibri" w:cs="Calibri"/>
          <w:color w:val="000000"/>
          <w:sz w:val="22"/>
        </w:rPr>
        <w:t>The mining area principally includes the communities of Picher, Cardin, Commerce, Quapaw, and North Miami. As</w:t>
      </w:r>
      <w:r>
        <w:rPr>
          <w:rFonts w:ascii="Calibri" w:hAnsi="Calibri" w:cs="Calibri"/>
          <w:color w:val="000000"/>
          <w:sz w:val="22"/>
        </w:rPr>
        <w:t xml:space="preserve"> </w:t>
      </w:r>
      <w:r>
        <w:rPr>
          <w:rFonts w:ascii="Calibri" w:hAnsi="Calibri" w:cs="Calibri"/>
          <w:color w:val="000000"/>
          <w:sz w:val="22"/>
        </w:rPr>
        <w:t>a result of the mining and milling operations, large quantities of mining wastes were deposited on the surface in</w:t>
      </w:r>
      <w:r>
        <w:rPr>
          <w:rFonts w:ascii="Calibri" w:hAnsi="Calibri" w:cs="Calibri"/>
          <w:color w:val="000000"/>
          <w:sz w:val="22"/>
        </w:rPr>
        <w:t xml:space="preserve"> </w:t>
      </w:r>
      <w:r>
        <w:rPr>
          <w:rFonts w:ascii="Calibri" w:hAnsi="Calibri" w:cs="Calibri"/>
          <w:color w:val="000000"/>
          <w:sz w:val="22"/>
        </w:rPr>
        <w:t xml:space="preserve">piles </w:t>
      </w:r>
      <w:r>
        <w:rPr>
          <w:rFonts w:ascii="Calibri" w:hAnsi="Calibri" w:cs="Calibri"/>
          <w:color w:val="000000"/>
          <w:sz w:val="22"/>
        </w:rPr>
        <w:t>(</w:t>
      </w:r>
      <w:r>
        <w:rPr>
          <w:rFonts w:ascii="Calibri" w:hAnsi="Calibri" w:cs="Calibri"/>
          <w:color w:val="000000"/>
          <w:sz w:val="22"/>
        </w:rPr>
        <w:t>c</w:t>
      </w:r>
      <w:r>
        <w:rPr>
          <w:rFonts w:ascii="Calibri" w:hAnsi="Calibri" w:cs="Calibri"/>
          <w:color w:val="000000"/>
          <w:sz w:val="22"/>
        </w:rPr>
        <w:t xml:space="preserve">oarse tailings </w:t>
      </w:r>
      <w:r>
        <w:rPr>
          <w:rFonts w:ascii="Calibri" w:hAnsi="Calibri" w:cs="Calibri"/>
          <w:color w:val="000000"/>
          <w:sz w:val="22"/>
        </w:rPr>
        <w:t>known as “chat”</w:t>
      </w:r>
      <w:r>
        <w:rPr>
          <w:rFonts w:ascii="Calibri" w:hAnsi="Calibri" w:cs="Calibri"/>
          <w:color w:val="000000"/>
          <w:sz w:val="22"/>
        </w:rPr>
        <w:t>),</w:t>
      </w:r>
      <w:r>
        <w:rPr>
          <w:rFonts w:ascii="Calibri" w:hAnsi="Calibri" w:cs="Calibri"/>
          <w:color w:val="000000"/>
          <w:sz w:val="22"/>
        </w:rPr>
        <w:t xml:space="preserve"> and</w:t>
      </w:r>
      <w:r>
        <w:rPr>
          <w:rFonts w:ascii="Calibri" w:hAnsi="Calibri" w:cs="Calibri"/>
          <w:color w:val="000000"/>
          <w:sz w:val="22"/>
        </w:rPr>
        <w:t xml:space="preserve"> large “</w:t>
      </w:r>
      <w:r>
        <w:rPr>
          <w:rFonts w:ascii="Calibri" w:hAnsi="Calibri" w:cs="Calibri"/>
          <w:color w:val="000000"/>
          <w:sz w:val="22"/>
        </w:rPr>
        <w:t>ponds</w:t>
      </w:r>
      <w:r>
        <w:rPr>
          <w:rFonts w:ascii="Calibri" w:hAnsi="Calibri" w:cs="Calibri"/>
          <w:color w:val="000000"/>
          <w:sz w:val="22"/>
        </w:rPr>
        <w:t xml:space="preserve">” (now dry) filled with fine tailings. These features are </w:t>
      </w:r>
      <w:r>
        <w:rPr>
          <w:rFonts w:ascii="Calibri" w:hAnsi="Calibri" w:cs="Calibri"/>
          <w:color w:val="000000"/>
          <w:sz w:val="22"/>
        </w:rPr>
        <w:t xml:space="preserve">scattered throughout the </w:t>
      </w:r>
      <w:r>
        <w:rPr>
          <w:rFonts w:ascii="Calibri" w:hAnsi="Calibri" w:cs="Calibri"/>
          <w:color w:val="000000"/>
          <w:sz w:val="22"/>
        </w:rPr>
        <w:t xml:space="preserve">40-sq.mi. </w:t>
      </w:r>
      <w:proofErr w:type="gramStart"/>
      <w:r>
        <w:rPr>
          <w:rFonts w:ascii="Calibri" w:hAnsi="Calibri" w:cs="Calibri"/>
          <w:color w:val="000000"/>
          <w:sz w:val="22"/>
        </w:rPr>
        <w:t>area</w:t>
      </w:r>
      <w:proofErr w:type="gramEnd"/>
      <w:r>
        <w:rPr>
          <w:rFonts w:ascii="Calibri" w:hAnsi="Calibri" w:cs="Calibri"/>
          <w:color w:val="000000"/>
          <w:sz w:val="22"/>
        </w:rPr>
        <w:t xml:space="preserve"> that is </w:t>
      </w:r>
      <w:r>
        <w:rPr>
          <w:rFonts w:ascii="Calibri" w:hAnsi="Calibri" w:cs="Calibri"/>
          <w:color w:val="000000"/>
          <w:sz w:val="22"/>
        </w:rPr>
        <w:t>sparsely populated</w:t>
      </w:r>
      <w:r>
        <w:rPr>
          <w:rFonts w:ascii="Calibri" w:hAnsi="Calibri" w:cs="Calibri"/>
          <w:color w:val="000000"/>
          <w:sz w:val="22"/>
        </w:rPr>
        <w:t xml:space="preserve"> and </w:t>
      </w:r>
      <w:r>
        <w:rPr>
          <w:rFonts w:ascii="Calibri" w:hAnsi="Calibri" w:cs="Calibri"/>
          <w:color w:val="000000"/>
          <w:sz w:val="22"/>
        </w:rPr>
        <w:t>used primarily for</w:t>
      </w:r>
      <w:r>
        <w:rPr>
          <w:rFonts w:ascii="Calibri" w:hAnsi="Calibri" w:cs="Calibri"/>
          <w:color w:val="000000"/>
          <w:sz w:val="22"/>
        </w:rPr>
        <w:t xml:space="preserve"> agriculture</w:t>
      </w:r>
      <w:r>
        <w:rPr>
          <w:rFonts w:ascii="Calibri" w:hAnsi="Calibri" w:cs="Calibri"/>
          <w:color w:val="000000"/>
          <w:sz w:val="22"/>
        </w:rPr>
        <w:t xml:space="preserve"> </w:t>
      </w:r>
      <w:r>
        <w:rPr>
          <w:rFonts w:ascii="Calibri" w:hAnsi="Calibri" w:cs="Calibri"/>
          <w:color w:val="000000"/>
          <w:sz w:val="22"/>
        </w:rPr>
        <w:t>and pasture. Property o</w:t>
      </w:r>
      <w:r>
        <w:rPr>
          <w:rFonts w:ascii="Calibri" w:hAnsi="Calibri" w:cs="Calibri"/>
          <w:color w:val="000000"/>
          <w:sz w:val="22"/>
        </w:rPr>
        <w:t>wnership is either Tribal or non‐Tribal, or a combination of both.</w:t>
      </w:r>
    </w:p>
    <w:p w:rsidR="00FA33C4" w:rsidRDefault="00FA33C4" w:rsidP="00FA33C4">
      <w:pPr>
        <w:autoSpaceDE w:val="0"/>
        <w:autoSpaceDN w:val="0"/>
        <w:adjustRightInd w:val="0"/>
        <w:rPr>
          <w:rFonts w:ascii="Calibri" w:hAnsi="Calibri" w:cs="Calibri"/>
          <w:color w:val="000000"/>
          <w:sz w:val="22"/>
        </w:rPr>
      </w:pPr>
    </w:p>
    <w:p w:rsidR="00FA33C4" w:rsidRDefault="00FA33C4" w:rsidP="00FA33C4">
      <w:pPr>
        <w:autoSpaceDE w:val="0"/>
        <w:autoSpaceDN w:val="0"/>
        <w:adjustRightInd w:val="0"/>
        <w:rPr>
          <w:rFonts w:ascii="Calibri" w:hAnsi="Calibri" w:cs="Calibri"/>
          <w:color w:val="000000"/>
          <w:sz w:val="22"/>
        </w:rPr>
      </w:pPr>
      <w:r>
        <w:rPr>
          <w:rFonts w:ascii="Calibri" w:hAnsi="Calibri" w:cs="Calibri"/>
          <w:color w:val="000000"/>
          <w:sz w:val="22"/>
        </w:rPr>
        <w:t xml:space="preserve">The EPA </w:t>
      </w:r>
      <w:r>
        <w:rPr>
          <w:rFonts w:ascii="Calibri" w:hAnsi="Calibri" w:cs="Calibri"/>
          <w:color w:val="000000"/>
          <w:sz w:val="22"/>
        </w:rPr>
        <w:t>will be addressing</w:t>
      </w:r>
      <w:r>
        <w:rPr>
          <w:rFonts w:ascii="Calibri" w:hAnsi="Calibri" w:cs="Calibri"/>
          <w:color w:val="000000"/>
          <w:sz w:val="22"/>
        </w:rPr>
        <w:t xml:space="preserve"> materials that</w:t>
      </w:r>
      <w:r>
        <w:rPr>
          <w:rFonts w:ascii="Calibri" w:hAnsi="Calibri" w:cs="Calibri"/>
          <w:color w:val="000000"/>
          <w:sz w:val="22"/>
        </w:rPr>
        <w:t xml:space="preserve"> </w:t>
      </w:r>
      <w:r>
        <w:rPr>
          <w:rFonts w:ascii="Calibri" w:hAnsi="Calibri" w:cs="Calibri"/>
          <w:color w:val="000000"/>
          <w:sz w:val="22"/>
        </w:rPr>
        <w:t>contain chemicals of concern (cadmium, lead, and zinc) at levels that could result in unacceptable risk to human</w:t>
      </w:r>
      <w:r>
        <w:rPr>
          <w:rFonts w:ascii="Calibri" w:hAnsi="Calibri" w:cs="Calibri"/>
          <w:color w:val="000000"/>
          <w:sz w:val="22"/>
        </w:rPr>
        <w:t xml:space="preserve"> </w:t>
      </w:r>
      <w:r>
        <w:rPr>
          <w:rFonts w:ascii="Calibri" w:hAnsi="Calibri" w:cs="Calibri"/>
          <w:color w:val="000000"/>
          <w:sz w:val="22"/>
        </w:rPr>
        <w:t xml:space="preserve">health and the environment. </w:t>
      </w:r>
      <w:r>
        <w:rPr>
          <w:rFonts w:ascii="Calibri" w:hAnsi="Calibri" w:cs="Calibri"/>
          <w:color w:val="000000"/>
          <w:sz w:val="22"/>
        </w:rPr>
        <w:t xml:space="preserve">Cleanup will include soil disturbance. After cleanup is complete, EPA will be managing revegetation of portions of the 40-sq.mi. </w:t>
      </w:r>
      <w:proofErr w:type="gramStart"/>
      <w:r>
        <w:rPr>
          <w:rFonts w:ascii="Calibri" w:hAnsi="Calibri" w:cs="Calibri"/>
          <w:color w:val="000000"/>
          <w:sz w:val="22"/>
        </w:rPr>
        <w:t>area</w:t>
      </w:r>
      <w:proofErr w:type="gramEnd"/>
      <w:r>
        <w:rPr>
          <w:rFonts w:ascii="Calibri" w:hAnsi="Calibri" w:cs="Calibri"/>
          <w:color w:val="000000"/>
          <w:sz w:val="22"/>
        </w:rPr>
        <w:t>.</w:t>
      </w:r>
    </w:p>
    <w:p w:rsidR="00FA33C4" w:rsidRDefault="00FA33C4" w:rsidP="00FA33C4">
      <w:pPr>
        <w:autoSpaceDE w:val="0"/>
        <w:autoSpaceDN w:val="0"/>
        <w:adjustRightInd w:val="0"/>
        <w:rPr>
          <w:rFonts w:ascii="Calibri" w:hAnsi="Calibri" w:cs="Calibri"/>
          <w:color w:val="000000"/>
          <w:sz w:val="22"/>
        </w:rPr>
      </w:pPr>
    </w:p>
    <w:p w:rsidR="00FA33C4" w:rsidRPr="00BB6C67" w:rsidRDefault="00FA33C4" w:rsidP="00BB6C67">
      <w:pPr>
        <w:autoSpaceDE w:val="0"/>
        <w:autoSpaceDN w:val="0"/>
        <w:adjustRightInd w:val="0"/>
        <w:rPr>
          <w:rFonts w:ascii="Calibri" w:hAnsi="Calibri" w:cs="Calibri"/>
          <w:color w:val="000000"/>
          <w:sz w:val="22"/>
        </w:rPr>
      </w:pPr>
      <w:r>
        <w:rPr>
          <w:rFonts w:ascii="Calibri" w:hAnsi="Calibri" w:cs="Calibri"/>
          <w:color w:val="000000"/>
          <w:sz w:val="22"/>
        </w:rPr>
        <w:t xml:space="preserve">To design the scope of revegetation, EPA would like to include consideration of native plants that can restore soil fertility and provide wildlife habitat. EPA would appreciate any information the scientific community can provide to guide these efforts. Individuals or institutions who wish to provide advice or identify relevant literature </w:t>
      </w:r>
      <w:r w:rsidR="00BB6C67">
        <w:rPr>
          <w:rFonts w:ascii="Calibri" w:hAnsi="Calibri" w:cs="Calibri"/>
          <w:color w:val="000000"/>
          <w:sz w:val="22"/>
        </w:rPr>
        <w:t xml:space="preserve">in the future </w:t>
      </w:r>
      <w:r>
        <w:rPr>
          <w:rFonts w:ascii="Calibri" w:hAnsi="Calibri" w:cs="Calibri"/>
          <w:color w:val="000000"/>
          <w:sz w:val="22"/>
        </w:rPr>
        <w:t>may contact Deana Crumbling, environmental scientist with the USEPA Superfund Program in Washington, DC. Office phone = 703-603-0643; office email = crumbling.deana@epa.gov.</w:t>
      </w:r>
    </w:p>
    <w:p w:rsidR="00BB6C67" w:rsidRDefault="00BB6C67"/>
    <w:sectPr w:rsidR="00BB6C67" w:rsidSect="00FA33C4">
      <w:pgSz w:w="12240" w:h="15840"/>
      <w:pgMar w:top="81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87FA1"/>
    <w:multiLevelType w:val="hybridMultilevel"/>
    <w:tmpl w:val="2632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C4"/>
    <w:rsid w:val="00295DCE"/>
    <w:rsid w:val="002A4D3F"/>
    <w:rsid w:val="00A869F3"/>
    <w:rsid w:val="00B50D6A"/>
    <w:rsid w:val="00B7438D"/>
    <w:rsid w:val="00BB6C67"/>
    <w:rsid w:val="00DD4A18"/>
    <w:rsid w:val="00FA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0029-198D-4E6E-BDC6-AE702A5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A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Crumbling</dc:creator>
  <cp:keywords/>
  <dc:description/>
  <cp:lastModifiedBy>Deana Crumbling</cp:lastModifiedBy>
  <cp:revision>3</cp:revision>
  <dcterms:created xsi:type="dcterms:W3CDTF">2015-04-03T18:14:00Z</dcterms:created>
  <dcterms:modified xsi:type="dcterms:W3CDTF">2015-04-03T18:27:00Z</dcterms:modified>
</cp:coreProperties>
</file>